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F5A1D">
      <w:pPr>
        <w:autoSpaceDE/>
        <w:autoSpaceDN/>
        <w:adjustRightInd/>
        <w:snapToGrid/>
        <w:spacing w:after="0"/>
        <w:jc w:val="left"/>
        <w:rPr>
          <w:rFonts w:ascii="Arial" w:hAnsi="Arial" w:eastAsia="Times New Roman" w:cs="Arial"/>
          <w:color w:val="000000"/>
          <w:sz w:val="16"/>
          <w:szCs w:val="16"/>
        </w:rPr>
      </w:pPr>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22b</w:t>
      </w:r>
      <w:r>
        <w:rPr>
          <w:b/>
          <w:kern w:val="2"/>
          <w:lang w:eastAsia="zh-CN"/>
        </w:rPr>
        <w:tab/>
      </w:r>
      <w:r>
        <w:rPr>
          <w:b/>
          <w:kern w:val="2"/>
          <w:lang w:eastAsia="zh-CN"/>
        </w:rPr>
        <w:tab/>
      </w:r>
      <w:r>
        <w:rPr>
          <w:b/>
          <w:kern w:val="2"/>
          <w:lang w:eastAsia="zh-CN"/>
        </w:rPr>
        <w:tab/>
      </w:r>
      <w:r>
        <w:rPr>
          <w:b/>
          <w:kern w:val="2"/>
          <w:lang w:eastAsia="zh-CN"/>
        </w:rPr>
        <w:tab/>
      </w:r>
      <w:r>
        <w:rPr>
          <w:b/>
          <w:kern w:val="2"/>
          <w:lang w:eastAsia="zh-CN"/>
        </w:rPr>
        <w:t xml:space="preserve">                                    </w:t>
      </w:r>
      <w:r>
        <w:rPr>
          <w:rFonts w:hint="eastAsia"/>
          <w:b/>
          <w:kern w:val="2"/>
          <w:lang w:eastAsia="zh-CN"/>
        </w:rPr>
        <w:t xml:space="preserve">               </w:t>
      </w:r>
      <w:r>
        <w:rPr>
          <w:b/>
          <w:kern w:val="2"/>
          <w:lang w:eastAsia="zh-CN"/>
        </w:rPr>
        <w:t xml:space="preserve">               </w:t>
      </w:r>
      <w:r>
        <w:rPr>
          <w:rFonts w:hint="eastAsia"/>
          <w:b/>
          <w:bCs/>
          <w:kern w:val="2"/>
          <w:lang w:eastAsia="zh-CN"/>
        </w:rPr>
        <w:t>R1-2506758</w:t>
      </w:r>
    </w:p>
    <w:p w14:paraId="4BE0EE90">
      <w:pPr>
        <w:jc w:val="left"/>
        <w:rPr>
          <w:b/>
          <w:kern w:val="2"/>
          <w:lang w:eastAsia="zh-CN"/>
        </w:rPr>
      </w:pPr>
      <w:r>
        <w:rPr>
          <w:rFonts w:hint="eastAsia"/>
          <w:b/>
          <w:kern w:val="2"/>
          <w:lang w:eastAsia="zh-CN"/>
        </w:rPr>
        <w:t>Prague</w:t>
      </w:r>
      <w:r>
        <w:rPr>
          <w:b/>
          <w:kern w:val="2"/>
          <w:lang w:eastAsia="zh-CN"/>
        </w:rPr>
        <w:t xml:space="preserve">, </w:t>
      </w:r>
      <w:r>
        <w:rPr>
          <w:rFonts w:hint="eastAsia"/>
          <w:b/>
          <w:kern w:val="2"/>
          <w:lang w:eastAsia="zh-CN"/>
        </w:rPr>
        <w:t>CZ</w:t>
      </w:r>
      <w:r>
        <w:rPr>
          <w:b/>
          <w:kern w:val="2"/>
          <w:lang w:eastAsia="zh-CN"/>
        </w:rPr>
        <w:t xml:space="preserve">, </w:t>
      </w:r>
      <w:r>
        <w:rPr>
          <w:rFonts w:hint="eastAsia"/>
          <w:b/>
          <w:kern w:val="2"/>
          <w:lang w:eastAsia="zh-CN"/>
        </w:rPr>
        <w:t>Oct 13</w:t>
      </w:r>
      <w:r>
        <w:rPr>
          <w:rFonts w:hint="eastAsia"/>
          <w:b/>
          <w:kern w:val="2"/>
          <w:vertAlign w:val="superscript"/>
          <w:lang w:eastAsia="zh-CN"/>
        </w:rPr>
        <w:t>rd</w:t>
      </w:r>
      <w:r>
        <w:rPr>
          <w:b/>
          <w:kern w:val="2"/>
          <w:lang w:eastAsia="zh-CN"/>
        </w:rPr>
        <w:t xml:space="preserve"> – </w:t>
      </w:r>
      <w:r>
        <w:rPr>
          <w:rFonts w:hint="eastAsia"/>
          <w:b/>
          <w:kern w:val="2"/>
          <w:lang w:eastAsia="zh-CN"/>
        </w:rPr>
        <w:t>17</w:t>
      </w:r>
      <w:r>
        <w:rPr>
          <w:rFonts w:hint="eastAsia"/>
          <w:b/>
          <w:kern w:val="2"/>
          <w:vertAlign w:val="superscript"/>
          <w:lang w:eastAsia="zh-CN"/>
        </w:rPr>
        <w:t>th</w:t>
      </w:r>
      <w:r>
        <w:rPr>
          <w:b/>
          <w:kern w:val="2"/>
          <w:lang w:eastAsia="zh-CN"/>
        </w:rPr>
        <w:t>,</w:t>
      </w:r>
      <w:r>
        <w:rPr>
          <w:rFonts w:hint="eastAsia"/>
          <w:b/>
          <w:kern w:val="2"/>
          <w:lang w:eastAsia="zh-CN"/>
        </w:rPr>
        <w:t xml:space="preserve"> </w:t>
      </w:r>
      <w:r>
        <w:rPr>
          <w:b/>
          <w:kern w:val="2"/>
          <w:lang w:eastAsia="zh-CN"/>
        </w:rPr>
        <w:t>202</w:t>
      </w:r>
      <w:r>
        <w:rPr>
          <w:rFonts w:hint="eastAsia"/>
          <w:b/>
          <w:kern w:val="2"/>
          <w:lang w:eastAsia="zh-CN"/>
        </w:rPr>
        <w:t>5</w:t>
      </w:r>
    </w:p>
    <w:p w14:paraId="0F2CF709">
      <w:pPr>
        <w:pBdr>
          <w:top w:val="single" w:color="auto" w:sz="4" w:space="1"/>
        </w:pBdr>
        <w:spacing w:after="0"/>
        <w:jc w:val="left"/>
        <w:rPr>
          <w:b/>
          <w:kern w:val="2"/>
          <w:sz w:val="16"/>
          <w:szCs w:val="16"/>
          <w:lang w:eastAsia="zh-CN"/>
        </w:rPr>
      </w:pPr>
    </w:p>
    <w:p w14:paraId="4B0DDD40">
      <w:pPr>
        <w:spacing w:after="60"/>
        <w:ind w:left="1555" w:hanging="1555"/>
        <w:jc w:val="left"/>
        <w:rPr>
          <w:b/>
          <w:kern w:val="2"/>
          <w:lang w:eastAsia="zh-CN"/>
        </w:rPr>
      </w:pPr>
      <w:r>
        <w:rPr>
          <w:b/>
          <w:kern w:val="2"/>
          <w:lang w:eastAsia="zh-CN"/>
        </w:rPr>
        <w:t>Agenda Item:</w:t>
      </w:r>
      <w:r>
        <w:rPr>
          <w:b/>
          <w:kern w:val="2"/>
          <w:lang w:eastAsia="zh-CN"/>
        </w:rPr>
        <w:tab/>
      </w:r>
      <w:r>
        <w:rPr>
          <w:rFonts w:hint="eastAsia"/>
          <w:b/>
          <w:kern w:val="2"/>
          <w:lang w:eastAsia="zh-CN"/>
        </w:rPr>
        <w:t>11.5</w:t>
      </w:r>
    </w:p>
    <w:p w14:paraId="6DEDB6F1">
      <w:pPr>
        <w:spacing w:after="60"/>
        <w:ind w:left="1555" w:hanging="1555"/>
        <w:jc w:val="left"/>
        <w:rPr>
          <w:b/>
          <w:kern w:val="2"/>
          <w:lang w:eastAsia="zh-CN"/>
        </w:rPr>
      </w:pPr>
      <w:r>
        <w:rPr>
          <w:b/>
          <w:kern w:val="2"/>
          <w:lang w:eastAsia="zh-CN"/>
        </w:rPr>
        <w:t>Source:</w:t>
      </w:r>
      <w:r>
        <w:rPr>
          <w:b/>
          <w:kern w:val="2"/>
          <w:lang w:eastAsia="zh-CN"/>
        </w:rPr>
        <w:tab/>
      </w:r>
      <w:r>
        <w:rPr>
          <w:b/>
          <w:kern w:val="2"/>
          <w:lang w:eastAsia="zh-CN"/>
        </w:rPr>
        <w:t xml:space="preserve">TCL  </w:t>
      </w:r>
    </w:p>
    <w:p w14:paraId="53901B75">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Discussion on energy efficiency for 6GR</w:t>
      </w:r>
    </w:p>
    <w:p w14:paraId="5A7A4486">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Discussion</w:t>
      </w:r>
    </w:p>
    <w:p w14:paraId="1FA3AD89">
      <w:pPr>
        <w:pBdr>
          <w:bottom w:val="single" w:color="auto" w:sz="4" w:space="1"/>
        </w:pBdr>
        <w:spacing w:after="0"/>
        <w:jc w:val="left"/>
        <w:rPr>
          <w:b/>
          <w:kern w:val="2"/>
          <w:sz w:val="16"/>
          <w:szCs w:val="16"/>
          <w:lang w:eastAsia="zh-CN"/>
        </w:rPr>
      </w:pPr>
    </w:p>
    <w:p w14:paraId="654526FA">
      <w:pPr>
        <w:pStyle w:val="2"/>
      </w:pPr>
      <w:bookmarkStart w:id="0" w:name="_Ref129681862"/>
      <w:bookmarkStart w:id="1" w:name="_Ref124589705"/>
      <w:r>
        <w:rPr>
          <w:rFonts w:hint="eastAsia"/>
          <w:lang w:eastAsia="zh-CN"/>
        </w:rPr>
        <w:t xml:space="preserve"> </w:t>
      </w:r>
      <w:r>
        <w:t>Introduction</w:t>
      </w:r>
      <w:bookmarkEnd w:id="0"/>
      <w:bookmarkEnd w:id="1"/>
    </w:p>
    <w:p w14:paraId="42278B29">
      <w:r>
        <w:t>One new agenda has been agreed to consider 6G energy efficiency aspects. Here, we copy the introduction of agenda draft as below[1],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6DE91AD">
        <w:tc>
          <w:tcPr>
            <w:tcW w:w="9307" w:type="dxa"/>
          </w:tcPr>
          <w:p w14:paraId="1AB0C18F">
            <w:pPr>
              <w:widowControl w:val="0"/>
              <w:rPr>
                <w:rFonts w:eastAsia="等线"/>
                <w:bCs/>
                <w:color w:val="000000"/>
                <w:lang w:eastAsia="zh-CN"/>
              </w:rPr>
            </w:pPr>
            <w:r>
              <w:rPr>
                <w:rFonts w:hint="eastAsia" w:eastAsia="等线"/>
                <w:i/>
                <w:iCs/>
                <w:lang w:eastAsia="zh-CN"/>
              </w:rPr>
              <w:t xml:space="preserve">Including discussion of proposal for NW power saving, UE power saving, and joint mechanisms taking both NW and UE into account for power saving, </w:t>
            </w:r>
            <w:r>
              <w:rPr>
                <w:rFonts w:eastAsia="等线"/>
                <w:i/>
                <w:iCs/>
                <w:lang w:eastAsia="zh-CN"/>
              </w:rPr>
              <w:t>targeting</w:t>
            </w:r>
            <w:r>
              <w:rPr>
                <w:rFonts w:hint="eastAsia" w:eastAsia="等线"/>
                <w:i/>
                <w:iCs/>
                <w:lang w:eastAsia="zh-CN"/>
              </w:rPr>
              <w:t xml:space="preserve"> to categorize proposals by RAN1#123. From RAN1#124, proposals will be distributed to respective related agenda.  </w:t>
            </w:r>
          </w:p>
        </w:tc>
      </w:tr>
    </w:tbl>
    <w:p w14:paraId="09083AD2">
      <w:r>
        <w:rPr>
          <w:rFonts w:eastAsia="等线"/>
          <w:lang w:eastAsia="zh-CN"/>
        </w:rPr>
        <w:t xml:space="preserve">The </w:t>
      </w:r>
      <w:r>
        <w:rPr>
          <w:rFonts w:hint="eastAsia" w:eastAsia="等线"/>
          <w:lang w:eastAsia="zh-CN"/>
        </w:rPr>
        <w:t>partly</w:t>
      </w:r>
      <w:r>
        <w:rPr>
          <w:rFonts w:eastAsia="等线"/>
          <w:lang w:eastAsia="zh-CN"/>
        </w:rPr>
        <w:t xml:space="preserve"> agreement or proposal in last meeting are copied  as below[2]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FE354AD">
        <w:tc>
          <w:tcPr>
            <w:tcW w:w="9307" w:type="dxa"/>
          </w:tcPr>
          <w:p w14:paraId="40515EDA">
            <w:pPr>
              <w:widowControl w:val="0"/>
              <w:autoSpaceDE/>
              <w:autoSpaceDN/>
              <w:adjustRightInd/>
              <w:spacing w:after="0"/>
              <w:rPr>
                <w:rFonts w:ascii="Times" w:hAnsi="Times" w:eastAsia="等线"/>
                <w:szCs w:val="24"/>
                <w:highlight w:val="green"/>
                <w:lang w:eastAsia="zh-CN"/>
              </w:rPr>
            </w:pPr>
            <w:r>
              <w:rPr>
                <w:rFonts w:hint="eastAsia" w:ascii="Times" w:hAnsi="Times" w:eastAsia="等线"/>
                <w:szCs w:val="24"/>
                <w:highlight w:val="green"/>
                <w:lang w:eastAsia="zh-CN"/>
              </w:rPr>
              <w:t>Agreement</w:t>
            </w:r>
          </w:p>
          <w:p w14:paraId="0CB0A8B7">
            <w:pPr>
              <w:widowControl w:val="0"/>
              <w:autoSpaceDE/>
              <w:autoSpaceDN/>
              <w:adjustRightInd/>
              <w:spacing w:after="0"/>
              <w:rPr>
                <w:szCs w:val="24"/>
              </w:rPr>
            </w:pPr>
            <w:r>
              <w:rPr>
                <w:szCs w:val="24"/>
              </w:rPr>
              <w:t>Study how to reuse and update reference configurations in TR 38.864 for 6G BS.</w:t>
            </w:r>
          </w:p>
          <w:p w14:paraId="70452DF3">
            <w:pPr>
              <w:widowControl w:val="0"/>
              <w:autoSpaceDE/>
              <w:autoSpaceDN/>
              <w:adjustRightInd/>
              <w:spacing w:after="0"/>
              <w:rPr>
                <w:rFonts w:ascii="Times" w:hAnsi="Times" w:eastAsia="等线"/>
                <w:lang w:eastAsia="zh-CN"/>
              </w:rPr>
            </w:pPr>
          </w:p>
          <w:p w14:paraId="2900A955">
            <w:pPr>
              <w:widowControl w:val="0"/>
              <w:autoSpaceDE/>
              <w:autoSpaceDN/>
              <w:adjustRightInd/>
              <w:spacing w:after="0"/>
              <w:rPr>
                <w:szCs w:val="24"/>
                <w:highlight w:val="green"/>
              </w:rPr>
            </w:pPr>
            <w:r>
              <w:rPr>
                <w:rFonts w:hint="eastAsia"/>
                <w:szCs w:val="24"/>
                <w:highlight w:val="green"/>
              </w:rPr>
              <w:t>Agreement</w:t>
            </w:r>
          </w:p>
          <w:p w14:paraId="196CE4A5">
            <w:pPr>
              <w:widowControl w:val="0"/>
              <w:autoSpaceDE/>
              <w:autoSpaceDN/>
              <w:adjustRightInd/>
              <w:spacing w:after="0"/>
              <w:rPr>
                <w:szCs w:val="24"/>
              </w:rPr>
            </w:pPr>
            <w:r>
              <w:rPr>
                <w:szCs w:val="24"/>
              </w:rPr>
              <w:t xml:space="preserve">Study </w:t>
            </w:r>
            <w:r>
              <w:rPr>
                <w:rFonts w:hint="eastAsia"/>
                <w:szCs w:val="24"/>
              </w:rPr>
              <w:t xml:space="preserve">how/whether to reuse </w:t>
            </w:r>
            <w:r>
              <w:rPr>
                <w:rFonts w:hint="eastAsia" w:eastAsia="等线"/>
                <w:szCs w:val="24"/>
                <w:lang w:eastAsia="zh-CN"/>
              </w:rPr>
              <w:t xml:space="preserve">or </w:t>
            </w:r>
            <w:r>
              <w:rPr>
                <w:rFonts w:hint="eastAsia"/>
                <w:szCs w:val="24"/>
              </w:rPr>
              <w:t xml:space="preserve">update </w:t>
            </w:r>
            <w:r>
              <w:rPr>
                <w:szCs w:val="24"/>
              </w:rPr>
              <w:t>the power model in TR 38.864 for evaluating BS power consumption for 6G BS.</w:t>
            </w:r>
          </w:p>
          <w:p w14:paraId="018C3B5A">
            <w:pPr>
              <w:widowControl w:val="0"/>
              <w:autoSpaceDE/>
              <w:autoSpaceDN/>
              <w:adjustRightInd/>
              <w:spacing w:after="0"/>
              <w:rPr>
                <w:rFonts w:ascii="Times" w:hAnsi="Times" w:eastAsia="等线"/>
                <w:i/>
                <w:iCs/>
                <w:szCs w:val="24"/>
                <w:lang w:eastAsia="zh-CN"/>
              </w:rPr>
            </w:pPr>
          </w:p>
          <w:p w14:paraId="7BCDA204">
            <w:pPr>
              <w:widowControl w:val="0"/>
              <w:autoSpaceDE/>
              <w:autoSpaceDN/>
              <w:adjustRightInd/>
              <w:spacing w:after="0"/>
              <w:rPr>
                <w:szCs w:val="24"/>
                <w:highlight w:val="green"/>
              </w:rPr>
            </w:pPr>
            <w:r>
              <w:rPr>
                <w:rFonts w:hint="eastAsia"/>
                <w:szCs w:val="24"/>
                <w:highlight w:val="green"/>
              </w:rPr>
              <w:t>Agreement</w:t>
            </w:r>
          </w:p>
          <w:p w14:paraId="1ACD67BF">
            <w:pPr>
              <w:widowControl w:val="0"/>
              <w:numPr>
                <w:ilvl w:val="0"/>
                <w:numId w:val="8"/>
              </w:numPr>
              <w:autoSpaceDE/>
              <w:autoSpaceDN/>
              <w:adjustRightInd/>
              <w:spacing w:after="0"/>
              <w:rPr>
                <w:szCs w:val="24"/>
              </w:rPr>
            </w:pPr>
            <w:r>
              <w:rPr>
                <w:szCs w:val="24"/>
              </w:rPr>
              <w:t>Study metric(s) for UE energy efficiency.</w:t>
            </w:r>
          </w:p>
          <w:p w14:paraId="5511C5CE">
            <w:pPr>
              <w:widowControl w:val="0"/>
              <w:numPr>
                <w:ilvl w:val="0"/>
                <w:numId w:val="8"/>
              </w:numPr>
              <w:autoSpaceDE/>
              <w:autoSpaceDN/>
              <w:adjustRightInd/>
              <w:spacing w:after="0"/>
              <w:rPr>
                <w:szCs w:val="24"/>
              </w:rPr>
            </w:pPr>
            <w:r>
              <w:rPr>
                <w:szCs w:val="24"/>
              </w:rPr>
              <w:t>Study metric(s) for BS energy efficiency.</w:t>
            </w:r>
          </w:p>
          <w:p w14:paraId="25DE4B40">
            <w:pPr>
              <w:widowControl w:val="0"/>
              <w:autoSpaceDE/>
              <w:autoSpaceDN/>
              <w:adjustRightInd/>
              <w:spacing w:after="0"/>
              <w:rPr>
                <w:rFonts w:ascii="Times" w:hAnsi="Times" w:eastAsia="等线"/>
                <w:i/>
                <w:iCs/>
                <w:szCs w:val="24"/>
                <w:lang w:eastAsia="zh-CN"/>
              </w:rPr>
            </w:pPr>
          </w:p>
          <w:p w14:paraId="5BF9A0CD">
            <w:pPr>
              <w:widowControl w:val="0"/>
              <w:autoSpaceDE/>
              <w:autoSpaceDN/>
              <w:adjustRightInd/>
              <w:spacing w:after="0"/>
              <w:rPr>
                <w:szCs w:val="24"/>
                <w:highlight w:val="green"/>
              </w:rPr>
            </w:pPr>
            <w:r>
              <w:rPr>
                <w:rFonts w:hint="eastAsia"/>
                <w:szCs w:val="24"/>
                <w:highlight w:val="green"/>
              </w:rPr>
              <w:t>Agreement</w:t>
            </w:r>
          </w:p>
          <w:p w14:paraId="129ACE6A">
            <w:pPr>
              <w:widowControl w:val="0"/>
              <w:autoSpaceDE/>
              <w:autoSpaceDN/>
              <w:adjustRightInd/>
              <w:spacing w:after="0"/>
              <w:rPr>
                <w:szCs w:val="24"/>
              </w:rPr>
            </w:pPr>
            <w:r>
              <w:rPr>
                <w:szCs w:val="24"/>
              </w:rPr>
              <w:t>Study reference configurations and power consumption model for 6G UE, considering but not restricted to the following:</w:t>
            </w:r>
          </w:p>
          <w:p w14:paraId="57ED683C">
            <w:pPr>
              <w:widowControl w:val="0"/>
              <w:numPr>
                <w:ilvl w:val="0"/>
                <w:numId w:val="9"/>
              </w:numPr>
              <w:autoSpaceDE/>
              <w:autoSpaceDN/>
              <w:adjustRightInd/>
              <w:spacing w:after="0"/>
              <w:rPr>
                <w:szCs w:val="24"/>
              </w:rPr>
            </w:pPr>
            <w:r>
              <w:rPr>
                <w:szCs w:val="24"/>
              </w:rPr>
              <w:t>TR 38.840 (UEPS), TR38.875 (RedCap), TR38.865 (eRedCap), and TR38.869 (LP-WUS/WUR) for reference configurations</w:t>
            </w:r>
          </w:p>
          <w:p w14:paraId="49C4BAAF">
            <w:pPr>
              <w:widowControl w:val="0"/>
              <w:numPr>
                <w:ilvl w:val="0"/>
                <w:numId w:val="9"/>
              </w:numPr>
              <w:autoSpaceDE/>
              <w:autoSpaceDN/>
              <w:adjustRightInd/>
              <w:spacing w:after="0"/>
              <w:rPr>
                <w:szCs w:val="24"/>
              </w:rPr>
            </w:pPr>
            <w:r>
              <w:rPr>
                <w:szCs w:val="24"/>
              </w:rPr>
              <w:t>TR 38.840 (UEPS), TR38.875 (RedCap), and TR38.869 (LP-WUS/WUR) for power consumption models</w:t>
            </w:r>
          </w:p>
          <w:p w14:paraId="1B3AB334">
            <w:pPr>
              <w:widowControl w:val="0"/>
              <w:autoSpaceDE/>
              <w:autoSpaceDN/>
              <w:adjustRightInd/>
              <w:spacing w:after="0"/>
              <w:rPr>
                <w:rFonts w:ascii="Times" w:hAnsi="Times" w:eastAsia="等线"/>
                <w:i/>
                <w:iCs/>
                <w:szCs w:val="24"/>
                <w:lang w:val="en-IN" w:eastAsia="zh-CN"/>
              </w:rPr>
            </w:pPr>
          </w:p>
          <w:p w14:paraId="35F98D62">
            <w:pPr>
              <w:widowControl w:val="0"/>
              <w:autoSpaceDE/>
              <w:autoSpaceDN/>
              <w:adjustRightInd/>
              <w:spacing w:after="0"/>
              <w:rPr>
                <w:szCs w:val="24"/>
                <w:highlight w:val="green"/>
              </w:rPr>
            </w:pPr>
            <w:r>
              <w:rPr>
                <w:rFonts w:hint="eastAsia"/>
                <w:szCs w:val="24"/>
                <w:highlight w:val="green"/>
              </w:rPr>
              <w:t>Agreement</w:t>
            </w:r>
          </w:p>
          <w:p w14:paraId="41B1CAFC">
            <w:pPr>
              <w:widowControl w:val="0"/>
              <w:numPr>
                <w:ilvl w:val="0"/>
                <w:numId w:val="10"/>
              </w:numPr>
              <w:autoSpaceDE/>
              <w:autoSpaceDN/>
              <w:adjustRightInd/>
              <w:spacing w:after="0"/>
              <w:rPr>
                <w:szCs w:val="24"/>
              </w:rPr>
            </w:pPr>
            <w:r>
              <w:rPr>
                <w:szCs w:val="24"/>
              </w:rPr>
              <w:t>Study baseline BS setting(s) for evaluating 6G BS EE improvement/impact, considering</w:t>
            </w:r>
            <w:r>
              <w:rPr>
                <w:rFonts w:hint="eastAsia" w:eastAsia="等线"/>
                <w:szCs w:val="24"/>
                <w:lang w:eastAsia="zh-CN"/>
              </w:rPr>
              <w:t xml:space="preserve"> </w:t>
            </w:r>
            <w:r>
              <w:rPr>
                <w:szCs w:val="24"/>
              </w:rPr>
              <w:t>NR features and 6G BS reference configuration(s)</w:t>
            </w:r>
          </w:p>
          <w:p w14:paraId="668CAF26">
            <w:pPr>
              <w:widowControl w:val="0"/>
              <w:numPr>
                <w:ilvl w:val="0"/>
                <w:numId w:val="10"/>
              </w:numPr>
              <w:autoSpaceDE/>
              <w:autoSpaceDN/>
              <w:adjustRightInd/>
              <w:spacing w:after="0"/>
              <w:rPr>
                <w:rFonts w:ascii="Times New Roman Regular" w:hAnsi="Times New Roman Regular" w:cs="Times New Roman Regular"/>
                <w:color w:val="000000" w:themeColor="text1"/>
                <w:lang w:eastAsia="zh-CN"/>
                <w14:textFill>
                  <w14:solidFill>
                    <w14:schemeClr w14:val="tx1"/>
                  </w14:solidFill>
                </w14:textFill>
              </w:rPr>
            </w:pPr>
            <w:r>
              <w:rPr>
                <w:szCs w:val="24"/>
              </w:rPr>
              <w:t>Study baseline UE setting(s) for evaluating 6G UE EE improvement/impact, considering NR features and 6G UE reference configuration(s)</w:t>
            </w:r>
          </w:p>
          <w:p w14:paraId="21DF1A36">
            <w:pPr>
              <w:widowControl w:val="0"/>
              <w:autoSpaceDE/>
              <w:autoSpaceDN/>
              <w:adjustRightInd/>
              <w:spacing w:after="0"/>
              <w:rPr>
                <w:szCs w:val="24"/>
              </w:rPr>
            </w:pPr>
          </w:p>
          <w:p w14:paraId="55080175">
            <w:pPr>
              <w:widowControl w:val="0"/>
              <w:rPr>
                <w:rFonts w:eastAsiaTheme="minorEastAsia"/>
                <w:b/>
                <w:bCs/>
                <w:highlight w:val="yellow"/>
                <w:lang w:eastAsia="zh-TW"/>
              </w:rPr>
            </w:pPr>
            <w:r>
              <w:rPr>
                <w:rFonts w:eastAsiaTheme="minorEastAsia"/>
                <w:b/>
                <w:bCs/>
                <w:highlight w:val="yellow"/>
                <w:lang w:eastAsia="zh-TW"/>
              </w:rPr>
              <w:t>Proposal 9</w:t>
            </w:r>
          </w:p>
          <w:p w14:paraId="2F2CCDBB">
            <w:pPr>
              <w:widowControl w:val="0"/>
              <w:rPr>
                <w:rFonts w:ascii="Times New Roman Regular" w:hAnsi="Times New Roman Regular" w:cs="Times New Roman Regular" w:eastAsiaTheme="minorEastAsia"/>
                <w:lang w:eastAsia="zh-TW"/>
              </w:rPr>
            </w:pPr>
            <w:r>
              <w:rPr>
                <w:rFonts w:ascii="Times New Roman Regular" w:hAnsi="Times New Roman Regular" w:cs="Times New Roman Regular" w:eastAsiaTheme="minorEastAsia"/>
                <w:lang w:eastAsia="zh-TW"/>
              </w:rPr>
              <w:t>Study 6GR energy efficiency and potential enhancements, considering but not restricted to the following aspects:</w:t>
            </w:r>
          </w:p>
          <w:p w14:paraId="64DD4BCF">
            <w:pPr>
              <w:pStyle w:val="49"/>
              <w:widowControl w:val="0"/>
              <w:numPr>
                <w:ilvl w:val="0"/>
                <w:numId w:val="11"/>
              </w:numPr>
              <w:rPr>
                <w:rFonts w:ascii="Times New Roman Regular" w:hAnsi="Times New Roman Regular" w:cs="Times New Roman Regular" w:eastAsiaTheme="minorEastAsia"/>
                <w:sz w:val="20"/>
                <w:szCs w:val="20"/>
                <w:lang w:eastAsia="zh-TW"/>
              </w:rPr>
            </w:pPr>
            <w:r>
              <w:rPr>
                <w:rFonts w:ascii="Times New Roman Regular" w:hAnsi="Times New Roman Regular" w:cs="Times New Roman Regular" w:eastAsiaTheme="minorEastAsia"/>
                <w:sz w:val="20"/>
                <w:szCs w:val="20"/>
                <w:lang w:eastAsia="zh-TW"/>
              </w:rPr>
              <w:t>SSB and SIB1 (e.g., Periodicity adaptation, on-demand operation including UL-WUS trigger, low-power transmission)</w:t>
            </w:r>
            <w:r>
              <w:rPr>
                <w:rFonts w:ascii="Times New Roman Regular" w:hAnsi="Times New Roman Regular" w:cs="Times New Roman Regular" w:eastAsiaTheme="minorEastAsia"/>
                <w:sz w:val="20"/>
                <w:szCs w:val="20"/>
                <w:lang w:eastAsia="zh-CN"/>
              </w:rPr>
              <w:t xml:space="preserve"> </w:t>
            </w:r>
          </w:p>
          <w:p w14:paraId="18B22BFA">
            <w:pPr>
              <w:pStyle w:val="49"/>
              <w:widowControl w:val="0"/>
              <w:numPr>
                <w:ilvl w:val="0"/>
                <w:numId w:val="11"/>
              </w:numPr>
              <w:rPr>
                <w:rFonts w:ascii="Times New Roman Regular" w:hAnsi="Times New Roman Regular" w:cs="Times New Roman Regular" w:eastAsiaTheme="minorEastAsia"/>
                <w:sz w:val="20"/>
                <w:szCs w:val="20"/>
                <w:lang w:eastAsia="zh-TW"/>
              </w:rPr>
            </w:pPr>
            <w:r>
              <w:rPr>
                <w:rFonts w:ascii="Times New Roman Regular" w:hAnsi="Times New Roman Regular" w:cs="Times New Roman Regular" w:eastAsiaTheme="minorEastAsia"/>
                <w:sz w:val="20"/>
                <w:szCs w:val="20"/>
                <w:lang w:eastAsia="zh-TW"/>
              </w:rPr>
              <w:t>RO and PO adaptation</w:t>
            </w:r>
          </w:p>
          <w:p w14:paraId="064DDF41">
            <w:pPr>
              <w:pStyle w:val="49"/>
              <w:widowControl w:val="0"/>
              <w:numPr>
                <w:ilvl w:val="0"/>
                <w:numId w:val="11"/>
              </w:numPr>
              <w:rPr>
                <w:rFonts w:ascii="Times New Roman Regular" w:hAnsi="Times New Roman Regular" w:cs="Times New Roman Regular" w:eastAsiaTheme="minorEastAsia"/>
                <w:sz w:val="20"/>
                <w:szCs w:val="20"/>
                <w:lang w:eastAsia="zh-TW"/>
              </w:rPr>
            </w:pPr>
            <w:r>
              <w:rPr>
                <w:rFonts w:ascii="Times New Roman Regular" w:hAnsi="Times New Roman Regular" w:cs="Times New Roman Regular" w:eastAsiaTheme="minorEastAsia"/>
                <w:sz w:val="20"/>
                <w:szCs w:val="20"/>
                <w:lang w:eastAsia="zh-TW"/>
              </w:rPr>
              <w:t>Multi-carrier/CA</w:t>
            </w:r>
          </w:p>
          <w:p w14:paraId="747A7463">
            <w:pPr>
              <w:pStyle w:val="49"/>
              <w:widowControl w:val="0"/>
              <w:numPr>
                <w:ilvl w:val="0"/>
                <w:numId w:val="11"/>
              </w:numPr>
              <w:rPr>
                <w:rFonts w:ascii="Times New Roman Regular" w:hAnsi="Times New Roman Regular" w:cs="Times New Roman Regular" w:eastAsiaTheme="minorEastAsia"/>
                <w:sz w:val="20"/>
                <w:szCs w:val="20"/>
                <w:lang w:eastAsia="zh-TW"/>
              </w:rPr>
            </w:pPr>
            <w:r>
              <w:rPr>
                <w:rFonts w:ascii="Times New Roman Regular" w:hAnsi="Times New Roman Regular" w:cs="Times New Roman Regular" w:eastAsiaTheme="minorEastAsia"/>
                <w:sz w:val="20"/>
                <w:szCs w:val="20"/>
                <w:lang w:eastAsia="zh-TW"/>
              </w:rPr>
              <w:t>Cell DTX/DRX, including, e.g., joint operation with UE cDRX</w:t>
            </w:r>
          </w:p>
          <w:p w14:paraId="18CFE783">
            <w:pPr>
              <w:pStyle w:val="49"/>
              <w:widowControl w:val="0"/>
              <w:numPr>
                <w:ilvl w:val="0"/>
                <w:numId w:val="11"/>
              </w:numPr>
              <w:rPr>
                <w:rFonts w:ascii="Times New Roman Regular" w:hAnsi="Times New Roman Regular" w:cs="Times New Roman Regular" w:eastAsiaTheme="minorEastAsia"/>
                <w:sz w:val="20"/>
                <w:szCs w:val="20"/>
                <w:lang w:eastAsia="zh-TW"/>
              </w:rPr>
            </w:pPr>
            <w:r>
              <w:rPr>
                <w:rFonts w:ascii="Times New Roman Regular" w:hAnsi="Times New Roman Regular" w:cs="Times New Roman Regular" w:eastAsiaTheme="minorEastAsia"/>
                <w:sz w:val="20"/>
                <w:szCs w:val="20"/>
                <w:lang w:eastAsia="zh-TW"/>
              </w:rPr>
              <w:t xml:space="preserve">PDCCH monitoring and adaptation </w:t>
            </w:r>
          </w:p>
          <w:p w14:paraId="7AF155A4">
            <w:pPr>
              <w:pStyle w:val="49"/>
              <w:widowControl w:val="0"/>
              <w:numPr>
                <w:ilvl w:val="0"/>
                <w:numId w:val="11"/>
              </w:numPr>
              <w:rPr>
                <w:rFonts w:ascii="Times New Roman Regular" w:hAnsi="Times New Roman Regular" w:cs="Times New Roman Regular" w:eastAsiaTheme="minorEastAsia"/>
                <w:sz w:val="20"/>
                <w:szCs w:val="20"/>
                <w:lang w:eastAsia="zh-TW"/>
              </w:rPr>
            </w:pPr>
            <w:r>
              <w:rPr>
                <w:rFonts w:ascii="Times New Roman Regular" w:hAnsi="Times New Roman Regular" w:cs="Times New Roman Regular" w:eastAsiaTheme="minorEastAsia"/>
                <w:sz w:val="20"/>
                <w:szCs w:val="20"/>
                <w:lang w:eastAsia="zh-TW"/>
              </w:rPr>
              <w:t>Wake-up mechanism</w:t>
            </w:r>
          </w:p>
          <w:p w14:paraId="176F789B">
            <w:pPr>
              <w:pStyle w:val="49"/>
              <w:widowControl w:val="0"/>
              <w:numPr>
                <w:ilvl w:val="0"/>
                <w:numId w:val="11"/>
              </w:numPr>
              <w:rPr>
                <w:rFonts w:ascii="Times New Roman Regular" w:hAnsi="Times New Roman Regular" w:cs="Times New Roman Regular" w:eastAsiaTheme="minorEastAsia"/>
                <w:sz w:val="20"/>
                <w:szCs w:val="20"/>
                <w:lang w:eastAsia="zh-TW"/>
              </w:rPr>
            </w:pPr>
            <w:r>
              <w:rPr>
                <w:rFonts w:ascii="Times New Roman Regular" w:hAnsi="Times New Roman Regular" w:cs="Times New Roman Regular" w:eastAsiaTheme="minorEastAsia"/>
                <w:sz w:val="20"/>
                <w:szCs w:val="20"/>
                <w:lang w:eastAsia="zh-TW"/>
              </w:rPr>
              <w:t>Scheduling, including</w:t>
            </w:r>
          </w:p>
          <w:p w14:paraId="2A7287E2">
            <w:pPr>
              <w:pStyle w:val="49"/>
              <w:widowControl w:val="0"/>
              <w:numPr>
                <w:ilvl w:val="0"/>
                <w:numId w:val="11"/>
              </w:numPr>
              <w:rPr>
                <w:rFonts w:ascii="Times New Roman Regular" w:hAnsi="Times New Roman Regular" w:cs="Times New Roman Regular" w:eastAsiaTheme="minorEastAsia"/>
                <w:sz w:val="20"/>
                <w:szCs w:val="20"/>
                <w:lang w:eastAsia="zh-TW"/>
              </w:rPr>
            </w:pPr>
            <w:r>
              <w:rPr>
                <w:rFonts w:ascii="Times New Roman Regular" w:hAnsi="Times New Roman Regular" w:cs="Times New Roman Regular" w:eastAsiaTheme="minorEastAsia"/>
                <w:sz w:val="20"/>
                <w:szCs w:val="20"/>
                <w:lang w:eastAsia="zh-TW"/>
              </w:rPr>
              <w:t>BWP framework</w:t>
            </w:r>
          </w:p>
          <w:p w14:paraId="04E2974E">
            <w:pPr>
              <w:pStyle w:val="49"/>
              <w:widowControl w:val="0"/>
              <w:numPr>
                <w:ilvl w:val="0"/>
                <w:numId w:val="11"/>
              </w:numPr>
              <w:rPr>
                <w:lang w:eastAsia="zh-CN"/>
              </w:rPr>
            </w:pPr>
            <w:r>
              <w:rPr>
                <w:rFonts w:ascii="Times New Roman Regular" w:hAnsi="Times New Roman Regular" w:cs="Times New Roman Regular" w:eastAsiaTheme="minorEastAsia"/>
                <w:sz w:val="20"/>
                <w:szCs w:val="20"/>
                <w:lang w:eastAsia="zh-TW"/>
              </w:rPr>
              <w:t>MIMO/CSI framework</w:t>
            </w:r>
          </w:p>
        </w:tc>
      </w:tr>
    </w:tbl>
    <w:p w14:paraId="11DAD472">
      <w:pPr>
        <w:rPr>
          <w:rFonts w:eastAsia="等线"/>
          <w:lang w:eastAsia="zh-CN"/>
        </w:rPr>
      </w:pPr>
    </w:p>
    <w:p w14:paraId="280A8B8F">
      <w:pPr>
        <w:rPr>
          <w:rFonts w:eastAsia="等线"/>
          <w:lang w:eastAsia="zh-CN"/>
        </w:rPr>
      </w:pPr>
      <w:r>
        <w:rPr>
          <w:rFonts w:hint="eastAsia" w:eastAsia="等线"/>
          <w:lang w:eastAsia="zh-CN"/>
        </w:rPr>
        <w:t>Also</w:t>
      </w:r>
      <w:r>
        <w:rPr>
          <w:rFonts w:eastAsia="等线"/>
          <w:lang w:eastAsia="zh-CN"/>
        </w:rPr>
        <w:t xml:space="preserve">, FL gives us some suggestions for input of upcoming meeting.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322AF7F">
        <w:tc>
          <w:tcPr>
            <w:tcW w:w="9307" w:type="dxa"/>
          </w:tcPr>
          <w:p w14:paraId="477DD48F">
            <w:pPr>
              <w:widowControl w:val="0"/>
              <w:rPr>
                <w:rFonts w:ascii="Times New Roman Italic" w:hAnsi="Times New Roman Italic" w:cs="Times New Roman Italic"/>
                <w:i/>
                <w:lang w:eastAsia="ja-JP"/>
              </w:rPr>
            </w:pPr>
            <w:r>
              <w:rPr>
                <w:rFonts w:ascii="Times New Roman Italic" w:hAnsi="Times New Roman Italic" w:cs="Times New Roman Italic"/>
                <w:i/>
                <w:lang w:eastAsia="ja-JP"/>
              </w:rPr>
              <w:t>For the upcoming two RAN1 meetings, the moderators would like to suggest the following structure of contributions, which can help companies’ understanding on the identified issues and solutions related to 6G energy efficiency:</w:t>
            </w:r>
          </w:p>
          <w:p w14:paraId="0E75ABD7">
            <w:pPr>
              <w:pStyle w:val="49"/>
              <w:widowControl w:val="0"/>
              <w:numPr>
                <w:ilvl w:val="0"/>
                <w:numId w:val="12"/>
              </w:numPr>
              <w:jc w:val="both"/>
              <w:rPr>
                <w:rFonts w:ascii="Times New Roman Italic" w:hAnsi="Times New Roman Italic" w:cs="Times New Roman Italic"/>
                <w:i/>
                <w:sz w:val="22"/>
                <w:lang w:eastAsia="ja-JP"/>
              </w:rPr>
            </w:pPr>
            <w:r>
              <w:rPr>
                <w:rFonts w:ascii="Times New Roman Italic" w:hAnsi="Times New Roman Italic" w:cs="Times New Roman Italic"/>
                <w:i/>
                <w:sz w:val="22"/>
                <w:lang w:eastAsia="ja-JP"/>
              </w:rPr>
              <w:t>BS and UE power consumption models (including reference configurations), energy efficiency metric(s) and baseline settings, and evaluation assumption updates, if any.</w:t>
            </w:r>
          </w:p>
          <w:p w14:paraId="34F0F463">
            <w:pPr>
              <w:pStyle w:val="49"/>
              <w:widowControl w:val="0"/>
              <w:numPr>
                <w:ilvl w:val="0"/>
                <w:numId w:val="12"/>
              </w:numPr>
              <w:jc w:val="both"/>
              <w:rPr>
                <w:rFonts w:ascii="Times New Roman Italic" w:hAnsi="Times New Roman Italic" w:cs="Times New Roman Italic"/>
                <w:i/>
                <w:sz w:val="22"/>
                <w:lang w:eastAsia="ja-JP"/>
              </w:rPr>
            </w:pPr>
            <w:r>
              <w:rPr>
                <w:rFonts w:ascii="Times New Roman Italic" w:hAnsi="Times New Roman Italic" w:cs="Times New Roman Italic"/>
                <w:i/>
                <w:sz w:val="22"/>
                <w:lang w:eastAsia="ja-JP"/>
              </w:rPr>
              <w:t>Evaluation of baseline settings and show power consumption issues.</w:t>
            </w:r>
          </w:p>
          <w:p w14:paraId="554DDFC0">
            <w:pPr>
              <w:pStyle w:val="49"/>
              <w:widowControl w:val="0"/>
              <w:numPr>
                <w:ilvl w:val="0"/>
                <w:numId w:val="12"/>
              </w:numPr>
              <w:jc w:val="both"/>
              <w:rPr>
                <w:rFonts w:ascii="Times New Roman Italic" w:hAnsi="Times New Roman Italic" w:cs="Times New Roman Italic"/>
                <w:i/>
                <w:sz w:val="22"/>
                <w:lang w:eastAsia="ja-JP"/>
              </w:rPr>
            </w:pPr>
            <w:r>
              <w:rPr>
                <w:rFonts w:ascii="Times New Roman Italic" w:hAnsi="Times New Roman Italic" w:cs="Times New Roman Italic"/>
                <w:i/>
                <w:sz w:val="22"/>
                <w:lang w:eastAsia="ja-JP"/>
              </w:rPr>
              <w:t>Introduce enhancement techniques/solutions and provide the corresponding evaluation results on both BS and UE energy efficiency metrics to justify BS/UE/joint energy efficiency improvement.</w:t>
            </w:r>
          </w:p>
          <w:p w14:paraId="7835812A">
            <w:pPr>
              <w:pStyle w:val="49"/>
              <w:widowControl w:val="0"/>
              <w:numPr>
                <w:ilvl w:val="0"/>
                <w:numId w:val="12"/>
              </w:numPr>
              <w:spacing w:after="240"/>
              <w:jc w:val="both"/>
              <w:rPr>
                <w:rFonts w:eastAsia="等线"/>
                <w:bCs/>
                <w:color w:val="000000"/>
                <w:lang w:eastAsia="zh-CN"/>
              </w:rPr>
            </w:pPr>
            <w:r>
              <w:rPr>
                <w:rFonts w:ascii="Times New Roman Italic" w:hAnsi="Times New Roman Italic" w:cs="Times New Roman Italic"/>
                <w:i/>
                <w:sz w:val="22"/>
                <w:lang w:eastAsia="ja-JP"/>
              </w:rPr>
              <w:t xml:space="preserve">Discussion on other aspects including performance and complexity characteristics/trade-offs.  </w:t>
            </w:r>
          </w:p>
        </w:tc>
      </w:tr>
    </w:tbl>
    <w:p w14:paraId="5BD28415">
      <w:pPr>
        <w:rPr>
          <w:rFonts w:eastAsia="等线"/>
          <w:lang w:eastAsia="zh-CN"/>
        </w:rPr>
      </w:pPr>
    </w:p>
    <w:p w14:paraId="56FFDCF7">
      <w:pPr>
        <w:rPr>
          <w:rFonts w:eastAsia="等线"/>
          <w:lang w:eastAsia="zh-CN"/>
        </w:rPr>
      </w:pPr>
      <w:r>
        <w:rPr>
          <w:rFonts w:hint="eastAsia" w:eastAsia="等线"/>
          <w:lang w:eastAsia="zh-CN"/>
        </w:rPr>
        <w:t>Based</w:t>
      </w:r>
      <w:r>
        <w:rPr>
          <w:rFonts w:eastAsia="等线"/>
          <w:lang w:eastAsia="zh-CN"/>
        </w:rPr>
        <w:t xml:space="preserve"> on above suggestions, t</w:t>
      </w:r>
      <w:r>
        <w:rPr>
          <w:rFonts w:hint="eastAsia" w:eastAsia="等线"/>
          <w:lang w:eastAsia="zh-CN"/>
        </w:rPr>
        <w:t>he following sections</w:t>
      </w:r>
      <w:r>
        <w:rPr>
          <w:rFonts w:eastAsia="等线"/>
          <w:lang w:eastAsia="zh-CN"/>
        </w:rPr>
        <w:t xml:space="preserve"> in this paper</w:t>
      </w:r>
      <w:r>
        <w:rPr>
          <w:rFonts w:hint="eastAsia" w:eastAsia="等线"/>
          <w:lang w:eastAsia="zh-CN"/>
        </w:rPr>
        <w:t xml:space="preserve"> provide</w:t>
      </w:r>
      <w:r>
        <w:rPr>
          <w:rFonts w:eastAsia="等线"/>
          <w:lang w:eastAsia="zh-CN"/>
        </w:rPr>
        <w:t xml:space="preserve">: </w:t>
      </w:r>
    </w:p>
    <w:p w14:paraId="0B066F9A">
      <w:pPr>
        <w:numPr>
          <w:ilvl w:val="0"/>
          <w:numId w:val="13"/>
        </w:numPr>
        <w:rPr>
          <w:rFonts w:eastAsia="等线"/>
          <w:lang w:eastAsia="zh-CN"/>
        </w:rPr>
      </w:pPr>
      <w:r>
        <w:rPr>
          <w:rFonts w:eastAsia="等线"/>
          <w:lang w:eastAsia="zh-CN"/>
        </w:rPr>
        <w:t>As an important topic, we still want to discuss how to consider the impact of 6GR terminal on energy efficiency even related topic being discussed in AI 11.1 or RAN #109.</w:t>
      </w:r>
    </w:p>
    <w:p w14:paraId="473C7196">
      <w:pPr>
        <w:numPr>
          <w:ilvl w:val="0"/>
          <w:numId w:val="13"/>
        </w:numPr>
        <w:rPr>
          <w:rFonts w:eastAsia="等线"/>
          <w:lang w:eastAsia="zh-CN"/>
        </w:rPr>
      </w:pPr>
      <w:r>
        <w:rPr>
          <w:rFonts w:eastAsia="等线"/>
          <w:lang w:eastAsia="zh-CN"/>
        </w:rPr>
        <w:t xml:space="preserve">And then, we are going to discuss </w:t>
      </w:r>
      <w:r>
        <w:rPr>
          <w:rFonts w:hint="eastAsia" w:eastAsia="等线"/>
          <w:lang w:eastAsia="zh-CN"/>
        </w:rPr>
        <w:t>how</w:t>
      </w:r>
      <w:r>
        <w:rPr>
          <w:rFonts w:eastAsia="等线"/>
          <w:lang w:eastAsia="zh-CN"/>
        </w:rPr>
        <w:t xml:space="preserve"> to model 6GR power consumption at both of BS and UE.</w:t>
      </w:r>
    </w:p>
    <w:p w14:paraId="297D0253">
      <w:pPr>
        <w:numPr>
          <w:ilvl w:val="0"/>
          <w:numId w:val="13"/>
        </w:numPr>
        <w:rPr>
          <w:rFonts w:eastAsia="等线"/>
          <w:lang w:eastAsia="zh-CN"/>
        </w:rPr>
      </w:pPr>
      <w:r>
        <w:rPr>
          <w:rFonts w:eastAsia="等线"/>
          <w:lang w:eastAsia="zh-CN"/>
        </w:rPr>
        <w:t>Next, metrics for 6GR energy efficiency will be discussed based on networks or UE requirements, and discuss how to balance the tradeoff between energy efficiency and other KPI like coverage/latency/QoS, etc.</w:t>
      </w:r>
    </w:p>
    <w:p w14:paraId="6ECA62F0">
      <w:pPr>
        <w:numPr>
          <w:ilvl w:val="0"/>
          <w:numId w:val="13"/>
        </w:numPr>
        <w:rPr>
          <w:rFonts w:eastAsia="等线"/>
          <w:lang w:eastAsia="zh-CN"/>
        </w:rPr>
      </w:pPr>
      <w:r>
        <w:rPr>
          <w:rFonts w:eastAsia="等线"/>
          <w:lang w:eastAsia="zh-CN"/>
        </w:rPr>
        <w:t>Finally, based on FL summary’s guidance in last meeting, we give our opinions about cell</w:t>
      </w:r>
      <w:r>
        <w:rPr>
          <w:rFonts w:hint="eastAsia" w:eastAsia="等线"/>
          <w:lang w:val="en-US" w:eastAsia="zh-CN"/>
        </w:rPr>
        <w:t xml:space="preserve"> </w:t>
      </w:r>
      <w:r>
        <w:rPr>
          <w:rFonts w:eastAsia="等线"/>
          <w:lang w:eastAsia="zh-CN"/>
        </w:rPr>
        <w:t xml:space="preserve">level and UE level related 6GR energy efficiency technologies. </w:t>
      </w:r>
    </w:p>
    <w:p w14:paraId="42313B0B">
      <w:pPr>
        <w:pBdr>
          <w:bottom w:val="single" w:color="auto" w:sz="4" w:space="1"/>
        </w:pBdr>
        <w:spacing w:after="0"/>
        <w:jc w:val="left"/>
        <w:rPr>
          <w:b/>
          <w:kern w:val="2"/>
          <w:sz w:val="16"/>
          <w:szCs w:val="16"/>
          <w:lang w:eastAsia="zh-CN"/>
        </w:rPr>
      </w:pPr>
    </w:p>
    <w:p w14:paraId="7A20E0AE">
      <w:pPr>
        <w:pStyle w:val="2"/>
        <w:rPr>
          <w:lang w:eastAsia="zh-CN"/>
        </w:rPr>
      </w:pPr>
      <w:r>
        <w:rPr>
          <w:rFonts w:hint="eastAsia" w:eastAsia="等线"/>
          <w:lang w:eastAsia="zh-CN"/>
        </w:rPr>
        <w:t xml:space="preserve"> </w:t>
      </w:r>
      <w:r>
        <w:rPr>
          <w:rFonts w:eastAsia="等线"/>
          <w:lang w:eastAsia="zh-CN"/>
        </w:rPr>
        <w:t>One key factor of 6G</w:t>
      </w:r>
      <w:r>
        <w:rPr>
          <w:rFonts w:hint="eastAsia" w:eastAsia="等线"/>
          <w:lang w:eastAsia="zh-CN"/>
        </w:rPr>
        <w:t>R</w:t>
      </w:r>
      <w:r>
        <w:rPr>
          <w:rFonts w:eastAsia="等线"/>
          <w:lang w:eastAsia="zh-CN"/>
        </w:rPr>
        <w:t xml:space="preserve"> energy efficiency: terminal types or multi-capability terminal</w:t>
      </w:r>
    </w:p>
    <w:p w14:paraId="0184D0EA">
      <w:pPr>
        <w:rPr>
          <w:lang w:eastAsia="zh-CN"/>
        </w:rPr>
      </w:pPr>
      <w:r>
        <w:rPr>
          <w:lang w:eastAsia="zh-CN"/>
        </w:rPr>
        <w:t>This chapter provides a systematic comparison of different 3GPP terminal types (eMBB, RedCap, NB-IoT, and LTE Cat-M) in terms of power consumption characteristics, functional capabilities, and physical-layer air interface technologies. It also analyzes the technical challenges faced by multi-capability UEs that support multiple operational modes, focusing on RRC state management, mode switching, and power control. The comparison reveals a clear trade-off between performance and energy efficiency among different UE types, while multi-capability devices—despite their broader applicability—introduce additional hardware, signaling, and standby power overhead. To maintain both performance and efficiency in multi-mode operation, such UEs require advanced power-saving mechanisms such as eDRX, RRC_INACTIVE, and WUS, combined with coordinated optimization at the network level.</w:t>
      </w:r>
    </w:p>
    <w:p w14:paraId="0B0AF6F8">
      <w:pPr>
        <w:pStyle w:val="3"/>
        <w:rPr>
          <w:lang w:eastAsia="zh-CN"/>
        </w:rPr>
      </w:pPr>
      <w:r>
        <w:rPr>
          <w:lang w:eastAsia="zh-CN"/>
        </w:rPr>
        <w:t xml:space="preserve"> </w:t>
      </w:r>
      <w:r>
        <w:rPr>
          <w:rFonts w:hint="eastAsia"/>
          <w:lang w:eastAsia="zh-CN"/>
        </w:rPr>
        <w:t>Compariso</w:t>
      </w:r>
      <w:r>
        <w:rPr>
          <w:lang w:eastAsia="zh-CN"/>
        </w:rPr>
        <w:t>n of 3GPP terminal types</w:t>
      </w:r>
      <w:r>
        <w:rPr>
          <w:rFonts w:hint="eastAsia"/>
          <w:lang w:eastAsia="zh-CN"/>
        </w:rPr>
        <w:t xml:space="preserve"> from</w:t>
      </w:r>
      <w:r>
        <w:rPr>
          <w:lang w:eastAsia="zh-CN"/>
        </w:rPr>
        <w:t xml:space="preserve"> LTE to NR [13] </w:t>
      </w:r>
    </w:p>
    <w:p w14:paraId="504ECF7C">
      <w:pPr>
        <w:jc w:val="center"/>
      </w:pPr>
      <w:r>
        <w:drawing>
          <wp:inline distT="0" distB="0" distL="114300" distR="114300">
            <wp:extent cx="4090035" cy="2534920"/>
            <wp:effectExtent l="0" t="0" r="24765" b="508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6"/>
                    <a:stretch>
                      <a:fillRect/>
                    </a:stretch>
                  </pic:blipFill>
                  <pic:spPr>
                    <a:xfrm>
                      <a:off x="0" y="0"/>
                      <a:ext cx="4090035" cy="2534920"/>
                    </a:xfrm>
                    <a:prstGeom prst="rect">
                      <a:avLst/>
                    </a:prstGeom>
                    <a:noFill/>
                    <a:ln>
                      <a:noFill/>
                    </a:ln>
                  </pic:spPr>
                </pic:pic>
              </a:graphicData>
            </a:graphic>
          </wp:inline>
        </w:drawing>
      </w:r>
    </w:p>
    <w:p w14:paraId="4725AE6B">
      <w:pPr>
        <w:rPr>
          <w:lang w:eastAsia="zh-CN"/>
        </w:rPr>
      </w:pPr>
      <w:r>
        <w:rPr>
          <w:rFonts w:hint="eastAsia"/>
          <w:lang w:eastAsia="zh-CN"/>
        </w:rPr>
        <w:t>In</w:t>
      </w:r>
      <w:r>
        <w:rPr>
          <w:lang w:eastAsia="zh-CN"/>
        </w:rPr>
        <w:t xml:space="preserve"> this subsection, we</w:t>
      </w:r>
      <w:r>
        <w:rPr>
          <w:rFonts w:hint="eastAsia"/>
          <w:lang w:eastAsia="zh-CN"/>
        </w:rPr>
        <w:t xml:space="preserve"> will</w:t>
      </w:r>
      <w:r>
        <w:rPr>
          <w:lang w:eastAsia="zh-CN"/>
        </w:rPr>
        <w:t xml:space="preserve"> discuss existing terminal types from LTE to NR.</w:t>
      </w:r>
    </w:p>
    <w:p w14:paraId="6B40924D">
      <w:r>
        <w:rPr>
          <w:rFonts w:hint="eastAsia"/>
        </w:rPr>
        <w:t xml:space="preserve">The figure illustrates the trade-off between terminal capability and relative power consumption for four 3GPP terminal types: NB-IoT, LTE Cat-M1, NR RedCap, and </w:t>
      </w:r>
      <w:r>
        <w:t>NR</w:t>
      </w:r>
      <w:r>
        <w:rPr>
          <w:rFonts w:hint="eastAsia"/>
        </w:rPr>
        <w:t xml:space="preserve"> eMBB. Each point represents a typical device profile, with the horizontal axis reflecting throughput and feature richness, and the vertical axis showing a unitless power index—higher values correspond to greater typical power draw. The connected line indicates the evolutionary path from low-power, low-capability IoT devices to high-performance, high-power eMBB devices. Call-outs highlight the distinguishing features of each category: NB-IoT</w:t>
      </w:r>
      <w:r>
        <w:t>’</w:t>
      </w:r>
      <w:r>
        <w:rPr>
          <w:rFonts w:hint="eastAsia"/>
        </w:rPr>
        <w:t>s multi-year battery life enabled by PSM/eDRX; LTE Cat-M1</w:t>
      </w:r>
      <w:r>
        <w:t>’</w:t>
      </w:r>
      <w:r>
        <w:rPr>
          <w:rFonts w:hint="eastAsia"/>
        </w:rPr>
        <w:t>s added mobility and voice support; NR RedCap’s role in bridging IoT and 5G with moderate bandwidth and simplified RF; and eMBB</w:t>
      </w:r>
      <w:r>
        <w:t>’</w:t>
      </w:r>
      <w:r>
        <w:rPr>
          <w:rFonts w:hint="eastAsia"/>
        </w:rPr>
        <w:t>s peak performance with advanced features like MIMO, carrier aggregation, and wide bandwidth. This visual emphasizes that achieving higher capability generally incurs greater power consumption, guiding design trade-offs in terminal development and standardization.</w:t>
      </w:r>
    </w:p>
    <w:p w14:paraId="3A6DF52F">
      <w:pPr>
        <w:pStyle w:val="83"/>
        <w:jc w:val="center"/>
        <w:rPr>
          <w:rFonts w:ascii="Times New Roman Italic" w:hAnsi="Times New Roman Italic" w:cs="Times New Roman Italic"/>
          <w:i/>
          <w:iCs/>
        </w:rPr>
      </w:pPr>
      <w:r>
        <w:rPr>
          <w:rFonts w:ascii="Times New Roman Italic" w:hAnsi="Times New Roman Italic" w:cs="Times New Roman Italic"/>
          <w:i/>
          <w:iCs/>
        </w:rPr>
        <w:t xml:space="preserve">Table 1 Comparison of 3GPP terminal types from LTE to NR </w:t>
      </w:r>
    </w:p>
    <w:tbl>
      <w:tblPr>
        <w:tblStyle w:val="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9"/>
        <w:gridCol w:w="2280"/>
        <w:gridCol w:w="2507"/>
        <w:gridCol w:w="3137"/>
      </w:tblGrid>
      <w:tr w14:paraId="6ECAEFD2">
        <w:tc>
          <w:tcPr>
            <w:tcW w:w="0" w:type="auto"/>
            <w:tcBorders>
              <w:bottom w:val="single" w:color="auto" w:sz="0" w:space="0"/>
              <w:insideH w:val="single" w:sz="0" w:space="0"/>
              <w:tl2br w:val="nil"/>
              <w:tr2bl w:val="nil"/>
            </w:tcBorders>
            <w:vAlign w:val="top"/>
          </w:tcPr>
          <w:p w14:paraId="17238DF5">
            <w:pPr>
              <w:pStyle w:val="84"/>
            </w:pPr>
            <w:r>
              <w:rPr>
                <w:b/>
                <w:bCs/>
              </w:rPr>
              <w:t>Terminal Type</w:t>
            </w:r>
          </w:p>
        </w:tc>
        <w:tc>
          <w:tcPr>
            <w:tcW w:w="0" w:type="auto"/>
            <w:tcBorders>
              <w:bottom w:val="single" w:color="auto" w:sz="0" w:space="0"/>
              <w:insideH w:val="single" w:sz="0" w:space="0"/>
              <w:tl2br w:val="nil"/>
              <w:tr2bl w:val="nil"/>
            </w:tcBorders>
            <w:vAlign w:val="top"/>
          </w:tcPr>
          <w:p w14:paraId="2891B922">
            <w:pPr>
              <w:pStyle w:val="84"/>
            </w:pPr>
            <w:r>
              <w:rPr>
                <w:b/>
                <w:bCs/>
              </w:rPr>
              <w:t>Power Consumption</w:t>
            </w:r>
            <w:r>
              <w:t xml:space="preserve"> (Battery Life &amp; Power Features)</w:t>
            </w:r>
          </w:p>
        </w:tc>
        <w:tc>
          <w:tcPr>
            <w:tcW w:w="0" w:type="auto"/>
            <w:tcBorders>
              <w:bottom w:val="single" w:color="auto" w:sz="0" w:space="0"/>
              <w:insideH w:val="single" w:sz="0" w:space="0"/>
              <w:tl2br w:val="nil"/>
              <w:tr2bl w:val="nil"/>
            </w:tcBorders>
            <w:vAlign w:val="top"/>
          </w:tcPr>
          <w:p w14:paraId="062E15FA">
            <w:pPr>
              <w:pStyle w:val="84"/>
            </w:pPr>
            <w:r>
              <w:rPr>
                <w:b/>
                <w:bCs/>
              </w:rPr>
              <w:t>Functional Capability</w:t>
            </w:r>
            <w:r>
              <w:t xml:space="preserve"> (Use Case &amp; Data Rates)</w:t>
            </w:r>
          </w:p>
        </w:tc>
        <w:tc>
          <w:tcPr>
            <w:tcW w:w="0" w:type="auto"/>
            <w:tcBorders>
              <w:bottom w:val="single" w:color="auto" w:sz="0" w:space="0"/>
              <w:insideH w:val="single" w:sz="0" w:space="0"/>
              <w:tl2br w:val="nil"/>
              <w:tr2bl w:val="nil"/>
            </w:tcBorders>
            <w:vAlign w:val="top"/>
          </w:tcPr>
          <w:p w14:paraId="07FF0EC6">
            <w:pPr>
              <w:pStyle w:val="84"/>
            </w:pPr>
            <w:r>
              <w:rPr>
                <w:b/>
                <w:bCs/>
              </w:rPr>
              <w:t>Physical Layer Technologies</w:t>
            </w:r>
            <w:r>
              <w:t xml:space="preserve"> (Bandwidth, Antenna, Duplex, Modulation)</w:t>
            </w:r>
          </w:p>
        </w:tc>
      </w:tr>
      <w:tr w14:paraId="1C9DCF90">
        <w:tc>
          <w:tcPr>
            <w:tcW w:w="0" w:type="auto"/>
            <w:tcBorders>
              <w:tl2br w:val="nil"/>
              <w:tr2bl w:val="nil"/>
            </w:tcBorders>
          </w:tcPr>
          <w:p w14:paraId="68D2C4F1">
            <w:pPr>
              <w:pStyle w:val="84"/>
            </w:pPr>
            <w:r>
              <w:rPr>
                <w:b/>
                <w:bCs/>
              </w:rPr>
              <w:t>NB-IoT</w:t>
            </w:r>
            <w:r>
              <w:t xml:space="preserve">   (NB-IoT)</w:t>
            </w:r>
          </w:p>
        </w:tc>
        <w:tc>
          <w:tcPr>
            <w:tcW w:w="0" w:type="auto"/>
            <w:tcBorders>
              <w:tl2br w:val="nil"/>
              <w:tr2bl w:val="nil"/>
            </w:tcBorders>
          </w:tcPr>
          <w:p w14:paraId="52B9F1C3">
            <w:pPr>
              <w:pStyle w:val="84"/>
            </w:pPr>
            <w:r>
              <w:rPr>
                <w:rFonts w:ascii="Times New Roman Bold Italic" w:hAnsi="Times New Roman Bold Italic" w:cs="Times New Roman Bold Italic"/>
                <w:b/>
                <w:bCs/>
                <w:i/>
                <w:iCs/>
              </w:rPr>
              <w:t>Ultra-low power</w:t>
            </w:r>
            <w:r>
              <w:t xml:space="preserve"> for massive IoT: 10+ year battery on  cell in many use cases. Implements PSM (deep sleep for days) and eDRX (sleep cycles of minutes/hours) to minimize wake-ups. Idle and connected DRX are extremely extended, trading latency for energy.</w:t>
            </w:r>
          </w:p>
        </w:tc>
        <w:tc>
          <w:tcPr>
            <w:tcW w:w="0" w:type="auto"/>
            <w:tcBorders>
              <w:tl2br w:val="nil"/>
              <w:tr2bl w:val="nil"/>
            </w:tcBorders>
          </w:tcPr>
          <w:p w14:paraId="0085DEC1">
            <w:pPr>
              <w:pStyle w:val="84"/>
            </w:pPr>
            <w:r>
              <w:t xml:space="preserve">Aimed at </w:t>
            </w:r>
            <w:r>
              <w:rPr>
                <w:b/>
                <w:bCs/>
              </w:rPr>
              <w:t>small, infrequent data</w:t>
            </w:r>
            <w:r>
              <w:t xml:space="preserve"> (telemetry, meters). Uplink &lt;~20–60 kbps, downlink tens of kbps. High latency (seconds) tolerable. No voice or real-time traffic (primarily SMS or lightweight IP via CP). Excellent indoor/underground coverage (164 dB MCL) with message repetition for reach.</w:t>
            </w:r>
          </w:p>
        </w:tc>
        <w:tc>
          <w:tcPr>
            <w:tcW w:w="0" w:type="auto"/>
            <w:tcBorders>
              <w:tl2br w:val="nil"/>
              <w:tr2bl w:val="nil"/>
            </w:tcBorders>
          </w:tcPr>
          <w:p w14:paraId="265ECF2B">
            <w:pPr>
              <w:pStyle w:val="84"/>
            </w:pPr>
            <w:r>
              <w:t xml:space="preserve">Narrow 180 kHz LTE carrier (single PRB). OFDMA downlink / SC-FDMA or single-tone uplink. </w:t>
            </w:r>
            <w:r>
              <w:rPr>
                <w:b/>
                <w:bCs/>
              </w:rPr>
              <w:t>No MIMO</w:t>
            </w:r>
            <w:r>
              <w:t xml:space="preserve"> (1 antenna). </w:t>
            </w:r>
            <w:r>
              <w:rPr>
                <w:b/>
                <w:bCs/>
              </w:rPr>
              <w:t>Half-duplex</w:t>
            </w:r>
            <w:r>
              <w:t xml:space="preserve"> FDD operation. Simplified channel coding (convolutional codes for DL, turbo for UL; no LDPC). Supports QPSK (and BPSK) modulation only (no 16/64-QAM to keep complexity low).</w:t>
            </w:r>
          </w:p>
        </w:tc>
      </w:tr>
      <w:tr w14:paraId="58ACE8C5">
        <w:tc>
          <w:tcPr>
            <w:tcW w:w="0" w:type="auto"/>
            <w:tcBorders>
              <w:tl2br w:val="nil"/>
              <w:tr2bl w:val="nil"/>
            </w:tcBorders>
          </w:tcPr>
          <w:p w14:paraId="22D4C36D">
            <w:pPr>
              <w:pStyle w:val="84"/>
            </w:pPr>
            <w:r>
              <w:rPr>
                <w:b/>
                <w:bCs/>
              </w:rPr>
              <w:t>LTE Cat-M1</w:t>
            </w:r>
            <w:r>
              <w:t xml:space="preserve"> (LTE-M) </w:t>
            </w:r>
          </w:p>
        </w:tc>
        <w:tc>
          <w:tcPr>
            <w:tcW w:w="0" w:type="auto"/>
            <w:tcBorders>
              <w:tl2br w:val="nil"/>
              <w:tr2bl w:val="nil"/>
            </w:tcBorders>
          </w:tcPr>
          <w:p w14:paraId="27BA0963">
            <w:pPr>
              <w:pStyle w:val="84"/>
            </w:pPr>
            <w:r>
              <w:rPr>
                <w:rFonts w:ascii="Times New Roman Bold Italic" w:hAnsi="Times New Roman Bold Italic" w:cs="Times New Roman Bold Italic"/>
                <w:b/>
                <w:bCs/>
                <w:i/>
                <w:iCs/>
              </w:rPr>
              <w:t>Very low power</w:t>
            </w:r>
            <w:r>
              <w:t>: battery ~5–10 years in IoT scenarios. Supports PSM and eDRX like NB-IoT (e.g. sleep for tens of minutes), but with slightly higher active power due to larger bandwidth and higher data bursts. Still far more power-efficient than smartphones.</w:t>
            </w:r>
          </w:p>
        </w:tc>
        <w:tc>
          <w:tcPr>
            <w:tcW w:w="0" w:type="auto"/>
            <w:tcBorders>
              <w:tl2br w:val="nil"/>
              <w:tr2bl w:val="nil"/>
            </w:tcBorders>
          </w:tcPr>
          <w:p w14:paraId="2D7F0784">
            <w:pPr>
              <w:pStyle w:val="84"/>
            </w:pPr>
            <w:r>
              <w:rPr>
                <w:b/>
                <w:bCs/>
              </w:rPr>
              <w:t>Moderate IoT data, plus mobility</w:t>
            </w:r>
            <w:r>
              <w:t>. Typical throughput up to 200–300 kbps (max ~1 Mbps), allowing periodic images or firmware updates. Supports VoLTE for voice and full IP connectivity. Designed for IoT with some mobility (supports handover), so suitable for asset trackers, wearables, industrial sensors requiring moderate data and real-time ability.</w:t>
            </w:r>
          </w:p>
        </w:tc>
        <w:tc>
          <w:tcPr>
            <w:tcW w:w="0" w:type="auto"/>
            <w:tcBorders>
              <w:tl2br w:val="nil"/>
              <w:tr2bl w:val="nil"/>
            </w:tcBorders>
          </w:tcPr>
          <w:p w14:paraId="533A6C32">
            <w:pPr>
              <w:pStyle w:val="84"/>
            </w:pPr>
            <w:r>
              <w:t xml:space="preserve">LTE 1.4 MHz bandwidth (6 PRBs). Standard LTE PHY with OFDMA/SC-FDMA. </w:t>
            </w:r>
            <w:r>
              <w:rPr>
                <w:b/>
                <w:bCs/>
              </w:rPr>
              <w:t>1 antenna (1×1)</w:t>
            </w:r>
            <w:r>
              <w:t xml:space="preserve"> normally; optional 2Rx diversity. Supports </w:t>
            </w:r>
            <w:r>
              <w:rPr>
                <w:b/>
                <w:bCs/>
              </w:rPr>
              <w:t>half-duplex FDD</w:t>
            </w:r>
            <w:r>
              <w:t xml:space="preserve"> to reduce RF complexity (can also do full duplex FDD or TDD if needed). Uses LTE turbo coding and up to 64-QAM modulation in good signal conditions (typically QPSK in poor coverage with repetitions for ~156 dB MCL).</w:t>
            </w:r>
          </w:p>
        </w:tc>
      </w:tr>
      <w:tr w14:paraId="2BBB0D46">
        <w:tc>
          <w:tcPr>
            <w:tcW w:w="0" w:type="auto"/>
            <w:tcBorders>
              <w:tl2br w:val="nil"/>
              <w:tr2bl w:val="nil"/>
            </w:tcBorders>
          </w:tcPr>
          <w:p w14:paraId="1824E3A8">
            <w:pPr>
              <w:pStyle w:val="84"/>
            </w:pPr>
            <w:r>
              <w:rPr>
                <w:b/>
                <w:bCs/>
              </w:rPr>
              <w:t>NR RedCap</w:t>
            </w:r>
            <w:r>
              <w:t xml:space="preserve">(Rel-17) </w:t>
            </w:r>
          </w:p>
        </w:tc>
        <w:tc>
          <w:tcPr>
            <w:tcW w:w="0" w:type="auto"/>
            <w:tcBorders>
              <w:tl2br w:val="nil"/>
              <w:tr2bl w:val="nil"/>
            </w:tcBorders>
          </w:tcPr>
          <w:p w14:paraId="6F475E8E">
            <w:pPr>
              <w:pStyle w:val="84"/>
            </w:pPr>
            <w:r>
              <w:rPr>
                <w:rFonts w:ascii="Times New Roman Bold Italic" w:hAnsi="Times New Roman Bold Italic" w:cs="Times New Roman Bold Italic"/>
                <w:b/>
                <w:bCs/>
                <w:i/>
                <w:iCs/>
              </w:rPr>
              <w:t>Lower power 5G UE</w:t>
            </w:r>
            <w:r>
              <w:rPr>
                <w:rFonts w:ascii="Times New Roman Bold Italic" w:hAnsi="Times New Roman Bold Italic" w:cs="Times New Roman Bold Italic"/>
                <w:b/>
                <w:bCs/>
              </w:rPr>
              <w:t>:</w:t>
            </w:r>
            <w:r>
              <w:t xml:space="preserve"> aims for longer battery life than standard NR. Supports RRC Inactive, eDRX and WUS in 5G like LTE-M/NB-IoT (Rel-17+ networks can configure RedCapwith long sleep cycles). A RedCapwearable might last ~1 week on charge, and an industrial RedCapsensor could achieve multi-year battery life under infrequent use. Power use is higher than NB-IoT/LTE-M but significantly less than eMBB UE, due to reduced RF chains and bandwidth.</w:t>
            </w:r>
          </w:p>
        </w:tc>
        <w:tc>
          <w:tcPr>
            <w:tcW w:w="0" w:type="auto"/>
            <w:tcBorders>
              <w:tl2br w:val="nil"/>
              <w:tr2bl w:val="nil"/>
            </w:tcBorders>
          </w:tcPr>
          <w:p w14:paraId="19C0B6F5">
            <w:pPr>
              <w:pStyle w:val="84"/>
            </w:pPr>
            <w:r>
              <w:rPr>
                <w:b/>
                <w:bCs/>
              </w:rPr>
              <w:t>Mid-tier “broadband IoT”</w:t>
            </w:r>
            <w:r>
              <w:t xml:space="preserve"> device:supports </w:t>
            </w:r>
            <w:r>
              <w:rPr>
                <w:b/>
                <w:bCs/>
              </w:rPr>
              <w:t>medium data rates</w:t>
            </w:r>
            <w:r>
              <w:t xml:space="preserve"> (peak ~100</w:t>
            </w:r>
            <w:r>
              <w:rPr>
                <w:rFonts w:hint="eastAsia"/>
                <w:lang w:eastAsia="zh-CN"/>
              </w:rPr>
              <w:t>-</w:t>
            </w:r>
            <w:r>
              <w:t>150 Mbps DL, ~50 Mbps UL in 20 MHz) for use cases like video-enabled wearables, industrial AR sensors, etc. Latency is moderate/low (in tens of ms, since it’s still 5G NR), and supports most NR features except the highest-throughput ones. Lacks URLLC extremes, but fills the gap between narrowband IoT and full 5G.</w:t>
            </w:r>
          </w:p>
        </w:tc>
        <w:tc>
          <w:tcPr>
            <w:tcW w:w="0" w:type="auto"/>
            <w:tcBorders>
              <w:tl2br w:val="nil"/>
              <w:tr2bl w:val="nil"/>
            </w:tcBorders>
          </w:tcPr>
          <w:p w14:paraId="53340719">
            <w:pPr>
              <w:pStyle w:val="84"/>
            </w:pPr>
            <w:r>
              <w:t xml:space="preserve">5G NR waveform (CP-OFDM/DFT-s-OFDM) but </w:t>
            </w:r>
            <w:r>
              <w:rPr>
                <w:b/>
                <w:bCs/>
              </w:rPr>
              <w:t>bandwidth capped at 20 MHz</w:t>
            </w:r>
            <w:r>
              <w:t xml:space="preserve">. </w:t>
            </w:r>
            <w:r>
              <w:rPr>
                <w:b/>
                <w:bCs/>
              </w:rPr>
              <w:t>Single antenna (1×1)</w:t>
            </w:r>
            <w:r>
              <w:t xml:space="preserve">; no Carrier Aggregation or Dual Connectivity. Supports optional </w:t>
            </w:r>
            <w:r>
              <w:rPr>
                <w:b/>
                <w:bCs/>
              </w:rPr>
              <w:t>half-duplex</w:t>
            </w:r>
            <w:r>
              <w:t xml:space="preserve"> FDD mode to simplify RF hardware. Max modulation 64-QAM (mandatory); 256-QAM optional for 33% higher peak rate. Uses standard NR LDPC and Polar codes, but with fewer layers/streams (up to 8 data radio bearers vs 16 in full NR). Overall PHY complexity is roughly comparable to an early LTE Category 4 UE, per design targets.</w:t>
            </w:r>
          </w:p>
        </w:tc>
      </w:tr>
      <w:tr w14:paraId="139C7CBB">
        <w:tc>
          <w:tcPr>
            <w:tcW w:w="0" w:type="auto"/>
            <w:tcBorders>
              <w:tl2br w:val="nil"/>
              <w:tr2bl w:val="nil"/>
            </w:tcBorders>
          </w:tcPr>
          <w:p w14:paraId="19417F29">
            <w:pPr>
              <w:pStyle w:val="84"/>
            </w:pPr>
            <w:r>
              <w:rPr>
                <w:b/>
                <w:bCs/>
              </w:rPr>
              <w:t>5G eMBB UE</w:t>
            </w:r>
            <w:r>
              <w:t xml:space="preserve"> (Rel-15+) </w:t>
            </w:r>
          </w:p>
        </w:tc>
        <w:tc>
          <w:tcPr>
            <w:tcW w:w="0" w:type="auto"/>
            <w:tcBorders>
              <w:tl2br w:val="nil"/>
              <w:tr2bl w:val="nil"/>
            </w:tcBorders>
          </w:tcPr>
          <w:p w14:paraId="577C5433">
            <w:pPr>
              <w:pStyle w:val="84"/>
            </w:pPr>
            <w:r>
              <w:rPr>
                <w:rFonts w:ascii="Times New Roman Bold Italic" w:hAnsi="Times New Roman Bold Italic" w:cs="Times New Roman Bold Italic"/>
                <w:b/>
                <w:bCs/>
                <w:i/>
                <w:iCs/>
              </w:rPr>
              <w:t>High power consumption</w:t>
            </w:r>
            <w:r>
              <w:t>: designed for performance, not prolonged battery – smartphones need daily charging. Uses DRX, fast dormancy, etc., to save power when idle, but continuous high data use drains battery quickly. Advanced 5G features (e.g. mmWave, 4×4 MIMO) further tax power. Not suitable for multi-year battery operation.</w:t>
            </w:r>
          </w:p>
        </w:tc>
        <w:tc>
          <w:tcPr>
            <w:tcW w:w="0" w:type="auto"/>
            <w:tcBorders>
              <w:tl2br w:val="nil"/>
              <w:tr2bl w:val="nil"/>
            </w:tcBorders>
          </w:tcPr>
          <w:p w14:paraId="42BC983E">
            <w:pPr>
              <w:pStyle w:val="84"/>
            </w:pPr>
            <w:r>
              <w:rPr>
                <w:b/>
                <w:bCs/>
              </w:rPr>
              <w:t>Enhanced Mobile Broadband</w:t>
            </w:r>
            <w:r>
              <w:t xml:space="preserve"> – supports </w:t>
            </w:r>
            <w:r>
              <w:rPr>
                <w:b/>
                <w:bCs/>
              </w:rPr>
              <w:t>extreme data rates</w:t>
            </w:r>
            <w:r>
              <w:t xml:space="preserve"> (hundreds of Mbps to &gt;1 Gbps) and advanced capabilities (e.g. 4K video streaming, AR/VR). Also supports other 5G use cases (URLLC, etc.) if device and network enabled. Fully mobile (high-speed handovers), low latency (~10 ms achievable), high reliability for consumer and enterprise broadband applications.</w:t>
            </w:r>
          </w:p>
        </w:tc>
        <w:tc>
          <w:tcPr>
            <w:tcW w:w="0" w:type="auto"/>
            <w:tcBorders>
              <w:tl2br w:val="nil"/>
              <w:tr2bl w:val="nil"/>
            </w:tcBorders>
          </w:tcPr>
          <w:p w14:paraId="37DF6483">
            <w:pPr>
              <w:pStyle w:val="84"/>
            </w:pPr>
            <w:r>
              <w:t xml:space="preserve">Wide bandwidth (up to 100 MHz on FR1, 400 MHz on FR2 mmWave). NR waveform with full feature set. Typically </w:t>
            </w:r>
            <w:r>
              <w:rPr>
                <w:b/>
                <w:bCs/>
              </w:rPr>
              <w:t>2×2 or 4×4 MIMO</w:t>
            </w:r>
            <w:r>
              <w:t xml:space="preserve"> in device; gNB uses Massive MIMO and beamforming. Full-duplex FDD and TDD supported. High-order modulation (256-QAM in DL/UL</w:t>
            </w:r>
            <w:r>
              <w:rPr>
                <w:rFonts w:hint="eastAsia"/>
                <w:lang w:eastAsia="zh-CN"/>
              </w:rPr>
              <w:t xml:space="preserve"> or</w:t>
            </w:r>
            <w:r>
              <w:rPr>
                <w:lang w:eastAsia="zh-CN"/>
              </w:rPr>
              <w:t xml:space="preserve"> higher order modulation</w:t>
            </w:r>
            <w:r>
              <w:t>). Advanced channel coding (LDPC for data, Polar for control). Supports dual connectivity, carrier aggregation across bands, etc., to maximize throughput.</w:t>
            </w:r>
          </w:p>
        </w:tc>
      </w:tr>
    </w:tbl>
    <w:p w14:paraId="40EAB734">
      <w:pPr>
        <w:rPr>
          <w:lang w:eastAsia="zh-CN"/>
        </w:rPr>
      </w:pPr>
    </w:p>
    <w:p w14:paraId="40FFBC73">
      <w:pPr>
        <w:rPr>
          <w:rFonts w:ascii="Times New Roman Bold Italic" w:hAnsi="Times New Roman Bold Italic" w:cs="Times New Roman Bold Italic"/>
          <w:i/>
          <w:iCs/>
          <w:lang w:eastAsia="zh-CN"/>
        </w:rPr>
      </w:pPr>
      <w:r>
        <w:rPr>
          <w:rFonts w:ascii="Times New Roman Bold Italic" w:hAnsi="Times New Roman Bold Italic" w:cs="Times New Roman Bold Italic"/>
          <w:b/>
          <w:bCs/>
          <w:i/>
          <w:iCs/>
        </w:rPr>
        <w:t xml:space="preserve">Observation 1: 3GPP has </w:t>
      </w:r>
      <w:r>
        <w:rPr>
          <w:rFonts w:hint="eastAsia" w:ascii="Times New Roman Bold Italic" w:hAnsi="Times New Roman Bold Italic" w:cs="Times New Roman Bold Italic"/>
          <w:b/>
          <w:bCs/>
          <w:i/>
          <w:iCs/>
          <w:lang w:eastAsia="zh-CN"/>
        </w:rPr>
        <w:t>supported</w:t>
      </w:r>
      <w:r>
        <w:rPr>
          <w:rFonts w:ascii="Times New Roman Bold Italic" w:hAnsi="Times New Roman Bold Italic" w:cs="Times New Roman Bold Italic"/>
          <w:b/>
          <w:bCs/>
          <w:i/>
          <w:iCs/>
        </w:rPr>
        <w:t xml:space="preserve"> different terminal types in terms of power consumption characteristics, functional capabilities, and physical-layer air interface technologies including NB-IoT, LTE Cat-M1, NR (e)RedCap, and NR eMBB.</w:t>
      </w:r>
    </w:p>
    <w:p w14:paraId="61200658">
      <w:pPr>
        <w:rPr>
          <w:lang w:eastAsia="zh-CN"/>
        </w:rPr>
      </w:pPr>
      <w:r>
        <w:rPr>
          <w:rFonts w:hint="eastAsia"/>
          <w:lang w:eastAsia="zh-CN"/>
        </w:rPr>
        <w:t>In</w:t>
      </w:r>
      <w:r>
        <w:rPr>
          <w:lang w:eastAsia="zh-CN"/>
        </w:rPr>
        <w:t xml:space="preserve"> addition, we briefly give SFO/CFO requirement</w:t>
      </w:r>
      <w:r>
        <w:rPr>
          <w:rFonts w:hint="eastAsia"/>
          <w:lang w:eastAsia="zh-CN"/>
        </w:rPr>
        <w:t>s</w:t>
      </w:r>
      <w:r>
        <w:rPr>
          <w:lang w:eastAsia="zh-CN"/>
        </w:rPr>
        <w:t xml:space="preserve"> as below table 2. It can be observed that NB-IoT, designed for low-cost and ultra-low-power operation, has the most relaxed requirement (±20 ppm), tolerating significant local oscillator and Doppler offsets. LTE Cat-M, NR RedCap, and 5G eMBB in FR1 bands typically require ±0.1 ppm accuracy during normal operation (relaxed to ±0.5 ppm for initial synchronization) to maintain link quality at higher modulation orders and wider bandwidths. For 5G eMBB in FR2 (mmWave) scenarios, the requirement is stricter</w:t>
      </w:r>
      <w:r>
        <w:rPr>
          <w:rFonts w:hint="eastAsia"/>
          <w:lang w:eastAsia="zh-CN"/>
        </w:rPr>
        <w:t xml:space="preserve"> </w:t>
      </w:r>
      <w:r>
        <w:rPr>
          <w:lang w:eastAsia="zh-CN"/>
        </w:rPr>
        <w:t>(around ±0.05 ppm) due to the higher sensitivity of mmWave frequencies to phase noise and frequency offsets.</w:t>
      </w:r>
    </w:p>
    <w:p w14:paraId="075ED2F3">
      <w:pPr>
        <w:jc w:val="left"/>
        <w:rPr>
          <w:rFonts w:ascii="Times New Roman Italic" w:hAnsi="Times New Roman Italic" w:cs="Times New Roman Italic"/>
          <w:i/>
          <w:iCs/>
          <w:lang w:eastAsia="zh-CN"/>
        </w:rPr>
      </w:pPr>
      <w:r>
        <w:rPr>
          <w:rFonts w:ascii="Times New Roman Italic" w:hAnsi="Times New Roman Italic" w:cs="Times New Roman Italic"/>
          <w:i/>
          <w:iCs/>
          <w:lang w:eastAsia="zh-CN"/>
        </w:rPr>
        <w:t>Table 2 SFO/CFO comparison of different terminal types</w:t>
      </w:r>
    </w:p>
    <w:tbl>
      <w:tblPr>
        <w:tblStyle w:val="28"/>
        <w:tblW w:w="9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2123"/>
        <w:gridCol w:w="1809"/>
        <w:gridCol w:w="1955"/>
        <w:gridCol w:w="1967"/>
      </w:tblGrid>
      <w:tr w14:paraId="79727737">
        <w:tc>
          <w:tcPr>
            <w:tcW w:w="1364" w:type="dxa"/>
            <w:shd w:val="clear" w:color="auto" w:fill="auto"/>
            <w:vAlign w:val="center"/>
          </w:tcPr>
          <w:p w14:paraId="19D8E73F">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Terminal Type</w:t>
            </w:r>
          </w:p>
        </w:tc>
        <w:tc>
          <w:tcPr>
            <w:tcW w:w="2178" w:type="dxa"/>
            <w:shd w:val="clear" w:color="auto" w:fill="auto"/>
            <w:vAlign w:val="center"/>
          </w:tcPr>
          <w:p w14:paraId="4893DDC1">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CFO Tolerance (Normal Operation)</w:t>
            </w:r>
          </w:p>
        </w:tc>
        <w:tc>
          <w:tcPr>
            <w:tcW w:w="1849" w:type="dxa"/>
            <w:shd w:val="clear" w:color="auto" w:fill="auto"/>
            <w:vAlign w:val="center"/>
          </w:tcPr>
          <w:p w14:paraId="3A429DEA">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CFO Tolerance (Initial Sync)</w:t>
            </w:r>
          </w:p>
        </w:tc>
        <w:tc>
          <w:tcPr>
            <w:tcW w:w="2002" w:type="dxa"/>
            <w:shd w:val="clear" w:color="auto" w:fill="auto"/>
            <w:vAlign w:val="center"/>
          </w:tcPr>
          <w:p w14:paraId="0D9ECA85">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SFO Stability (Sampling Offset)</w:t>
            </w:r>
          </w:p>
        </w:tc>
        <w:tc>
          <w:tcPr>
            <w:tcW w:w="2024" w:type="dxa"/>
            <w:shd w:val="clear" w:color="auto" w:fill="auto"/>
            <w:vAlign w:val="center"/>
          </w:tcPr>
          <w:p w14:paraId="27A4B554">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Notes</w:t>
            </w:r>
          </w:p>
        </w:tc>
      </w:tr>
      <w:tr w14:paraId="7012C0EF">
        <w:tc>
          <w:tcPr>
            <w:tcW w:w="1364" w:type="dxa"/>
            <w:shd w:val="clear" w:color="auto" w:fill="auto"/>
            <w:vAlign w:val="center"/>
          </w:tcPr>
          <w:p w14:paraId="406281B0">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NB-IoT</w:t>
            </w:r>
          </w:p>
        </w:tc>
        <w:tc>
          <w:tcPr>
            <w:tcW w:w="2178" w:type="dxa"/>
            <w:shd w:val="clear" w:color="auto" w:fill="auto"/>
            <w:vAlign w:val="center"/>
          </w:tcPr>
          <w:p w14:paraId="158E2CEF">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±20 ppm</w:t>
            </w:r>
          </w:p>
        </w:tc>
        <w:tc>
          <w:tcPr>
            <w:tcW w:w="1849" w:type="dxa"/>
            <w:shd w:val="clear" w:color="auto" w:fill="auto"/>
            <w:vAlign w:val="center"/>
          </w:tcPr>
          <w:p w14:paraId="2E3ABB3D">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±20 ppm</w:t>
            </w:r>
          </w:p>
        </w:tc>
        <w:tc>
          <w:tcPr>
            <w:tcW w:w="2002" w:type="dxa"/>
            <w:shd w:val="clear" w:color="auto" w:fill="auto"/>
            <w:vAlign w:val="center"/>
          </w:tcPr>
          <w:p w14:paraId="62EAE99E">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±20 ppm</w:t>
            </w:r>
          </w:p>
        </w:tc>
        <w:tc>
          <w:tcPr>
            <w:tcW w:w="2024" w:type="dxa"/>
            <w:shd w:val="clear" w:color="auto" w:fill="auto"/>
            <w:vAlign w:val="center"/>
          </w:tcPr>
          <w:p w14:paraId="3CBBD7F7">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Includes Doppler; low-cost crystal</w:t>
            </w:r>
          </w:p>
        </w:tc>
      </w:tr>
      <w:tr w14:paraId="151A0FBF">
        <w:tc>
          <w:tcPr>
            <w:tcW w:w="1364" w:type="dxa"/>
            <w:shd w:val="clear" w:color="auto" w:fill="auto"/>
            <w:vAlign w:val="center"/>
          </w:tcPr>
          <w:p w14:paraId="52645528">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LTE Cat-M</w:t>
            </w:r>
          </w:p>
        </w:tc>
        <w:tc>
          <w:tcPr>
            <w:tcW w:w="2178" w:type="dxa"/>
            <w:shd w:val="clear" w:color="auto" w:fill="auto"/>
            <w:vAlign w:val="center"/>
          </w:tcPr>
          <w:p w14:paraId="397EE20F">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1849" w:type="dxa"/>
            <w:shd w:val="clear" w:color="auto" w:fill="auto"/>
            <w:vAlign w:val="center"/>
          </w:tcPr>
          <w:p w14:paraId="3C72B80B">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±0.5 ppm</w:t>
            </w:r>
          </w:p>
        </w:tc>
        <w:tc>
          <w:tcPr>
            <w:tcW w:w="2002" w:type="dxa"/>
            <w:shd w:val="clear" w:color="auto" w:fill="auto"/>
            <w:vAlign w:val="center"/>
          </w:tcPr>
          <w:p w14:paraId="4CC7D695">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2024" w:type="dxa"/>
            <w:shd w:val="clear" w:color="auto" w:fill="auto"/>
            <w:vAlign w:val="center"/>
          </w:tcPr>
          <w:p w14:paraId="303578D9">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Same as LTE</w:t>
            </w:r>
          </w:p>
        </w:tc>
      </w:tr>
      <w:tr w14:paraId="5B041844">
        <w:tc>
          <w:tcPr>
            <w:tcW w:w="1364" w:type="dxa"/>
            <w:shd w:val="clear" w:color="auto" w:fill="auto"/>
            <w:vAlign w:val="center"/>
          </w:tcPr>
          <w:p w14:paraId="6B5F2244">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NR RedCap(FR1)</w:t>
            </w:r>
          </w:p>
        </w:tc>
        <w:tc>
          <w:tcPr>
            <w:tcW w:w="2178" w:type="dxa"/>
            <w:shd w:val="clear" w:color="auto" w:fill="auto"/>
            <w:vAlign w:val="center"/>
          </w:tcPr>
          <w:p w14:paraId="6C37A9DA">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1849" w:type="dxa"/>
            <w:shd w:val="clear" w:color="auto" w:fill="auto"/>
            <w:vAlign w:val="center"/>
          </w:tcPr>
          <w:p w14:paraId="48870CC4">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±0.5 ppm</w:t>
            </w:r>
          </w:p>
        </w:tc>
        <w:tc>
          <w:tcPr>
            <w:tcW w:w="2002" w:type="dxa"/>
            <w:shd w:val="clear" w:color="auto" w:fill="auto"/>
            <w:vAlign w:val="center"/>
          </w:tcPr>
          <w:p w14:paraId="471320A8">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2024" w:type="dxa"/>
            <w:shd w:val="clear" w:color="auto" w:fill="auto"/>
            <w:vAlign w:val="center"/>
          </w:tcPr>
          <w:p w14:paraId="0258F237">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Same as standard NR</w:t>
            </w:r>
          </w:p>
        </w:tc>
      </w:tr>
      <w:tr w14:paraId="2474D8E8">
        <w:tc>
          <w:tcPr>
            <w:tcW w:w="1364" w:type="dxa"/>
            <w:shd w:val="clear" w:color="auto" w:fill="auto"/>
            <w:vAlign w:val="center"/>
          </w:tcPr>
          <w:p w14:paraId="32421139">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5G eMBB (FR1)</w:t>
            </w:r>
          </w:p>
        </w:tc>
        <w:tc>
          <w:tcPr>
            <w:tcW w:w="2178" w:type="dxa"/>
            <w:shd w:val="clear" w:color="auto" w:fill="auto"/>
            <w:vAlign w:val="center"/>
          </w:tcPr>
          <w:p w14:paraId="7FDAE538">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1849" w:type="dxa"/>
            <w:shd w:val="clear" w:color="auto" w:fill="auto"/>
            <w:vAlign w:val="center"/>
          </w:tcPr>
          <w:p w14:paraId="099E3B08">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±0.5 ppm</w:t>
            </w:r>
          </w:p>
        </w:tc>
        <w:tc>
          <w:tcPr>
            <w:tcW w:w="2002" w:type="dxa"/>
            <w:shd w:val="clear" w:color="auto" w:fill="auto"/>
            <w:vAlign w:val="center"/>
          </w:tcPr>
          <w:p w14:paraId="3F300C84">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2024" w:type="dxa"/>
            <w:shd w:val="clear" w:color="auto" w:fill="auto"/>
            <w:vAlign w:val="center"/>
          </w:tcPr>
          <w:p w14:paraId="7C57B63C">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FR2 stricter: ~±0.05 ppm</w:t>
            </w:r>
          </w:p>
        </w:tc>
      </w:tr>
    </w:tbl>
    <w:p w14:paraId="5DAF2735">
      <w:pPr>
        <w:rPr>
          <w:lang w:eastAsia="zh-CN"/>
        </w:rPr>
      </w:pPr>
    </w:p>
    <w:p w14:paraId="285DB21E">
      <w:pPr>
        <w:pStyle w:val="5"/>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rPr>
        <w:t>Observation 2:</w:t>
      </w:r>
      <w:r>
        <w:rPr>
          <w:rFonts w:ascii="Times New Roman Bold Italic" w:hAnsi="Times New Roman Bold Italic" w:cs="Times New Roman Bold Italic"/>
          <w:b/>
          <w:bCs/>
          <w:i/>
          <w:iCs/>
          <w:sz w:val="22"/>
          <w:szCs w:val="22"/>
          <w:lang w:eastAsia="zh-CN"/>
        </w:rPr>
        <w:t xml:space="preserve"> From table </w:t>
      </w:r>
      <w:r>
        <w:rPr>
          <w:rFonts w:hint="eastAsia" w:ascii="Times New Roman Bold Italic" w:hAnsi="Times New Roman Bold Italic" w:cs="Times New Roman Bold Italic"/>
          <w:b/>
          <w:bCs/>
          <w:i/>
          <w:iCs/>
          <w:sz w:val="22"/>
          <w:szCs w:val="22"/>
          <w:lang w:eastAsia="zh-CN"/>
        </w:rPr>
        <w:t>2</w:t>
      </w:r>
      <w:r>
        <w:rPr>
          <w:rFonts w:ascii="Times New Roman Bold Italic" w:hAnsi="Times New Roman Bold Italic" w:cs="Times New Roman Bold Italic"/>
          <w:b/>
          <w:bCs/>
          <w:i/>
          <w:iCs/>
          <w:sz w:val="22"/>
          <w:szCs w:val="22"/>
          <w:lang w:eastAsia="zh-CN"/>
        </w:rPr>
        <w:t>, it could be observed that NB-IoT with lower power consumption has higher CFO/SFO compared with LTE Cat-M, NR RedCapand NR eMBB.</w:t>
      </w:r>
    </w:p>
    <w:p w14:paraId="4EB65C46">
      <w:pPr>
        <w:jc w:val="left"/>
        <w:rPr>
          <w:rFonts w:ascii="Times New Roman Italic" w:hAnsi="Times New Roman Italic" w:cs="Times New Roman Italic"/>
          <w:i/>
          <w:iCs/>
          <w:lang w:eastAsia="zh-CN"/>
        </w:rPr>
      </w:pPr>
      <w:r>
        <w:rPr>
          <w:rFonts w:ascii="Times New Roman Italic" w:hAnsi="Times New Roman Italic" w:cs="Times New Roman Italic"/>
          <w:i/>
          <w:iCs/>
          <w:lang w:eastAsia="zh-CN"/>
        </w:rPr>
        <w:t>Table 2 SFO/CFO comparison of different terminal types</w:t>
      </w:r>
    </w:p>
    <w:tbl>
      <w:tblPr>
        <w:tblStyle w:val="28"/>
        <w:tblW w:w="9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2123"/>
        <w:gridCol w:w="1809"/>
        <w:gridCol w:w="1955"/>
        <w:gridCol w:w="1967"/>
      </w:tblGrid>
      <w:tr w14:paraId="2E18C558">
        <w:tc>
          <w:tcPr>
            <w:tcW w:w="1364" w:type="dxa"/>
            <w:shd w:val="clear" w:color="auto" w:fill="auto"/>
            <w:vAlign w:val="center"/>
          </w:tcPr>
          <w:p w14:paraId="22CE64A3">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Terminal Type</w:t>
            </w:r>
          </w:p>
        </w:tc>
        <w:tc>
          <w:tcPr>
            <w:tcW w:w="2178" w:type="dxa"/>
            <w:shd w:val="clear" w:color="auto" w:fill="auto"/>
            <w:vAlign w:val="center"/>
          </w:tcPr>
          <w:p w14:paraId="21F53FD3">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CFO Tolerance (Normal Operation)</w:t>
            </w:r>
          </w:p>
        </w:tc>
        <w:tc>
          <w:tcPr>
            <w:tcW w:w="1849" w:type="dxa"/>
            <w:shd w:val="clear" w:color="auto" w:fill="auto"/>
            <w:vAlign w:val="center"/>
          </w:tcPr>
          <w:p w14:paraId="65977F86">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CFO Tolerance (Initial Sync)</w:t>
            </w:r>
          </w:p>
        </w:tc>
        <w:tc>
          <w:tcPr>
            <w:tcW w:w="2002" w:type="dxa"/>
            <w:shd w:val="clear" w:color="auto" w:fill="auto"/>
            <w:vAlign w:val="center"/>
          </w:tcPr>
          <w:p w14:paraId="03676A13">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SFO Stability (Sampling Offset)</w:t>
            </w:r>
          </w:p>
        </w:tc>
        <w:tc>
          <w:tcPr>
            <w:tcW w:w="2024" w:type="dxa"/>
            <w:shd w:val="clear" w:color="auto" w:fill="auto"/>
            <w:vAlign w:val="center"/>
          </w:tcPr>
          <w:p w14:paraId="22205CE4">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Notes</w:t>
            </w:r>
          </w:p>
        </w:tc>
      </w:tr>
      <w:tr w14:paraId="5314F406">
        <w:tc>
          <w:tcPr>
            <w:tcW w:w="1364" w:type="dxa"/>
            <w:shd w:val="clear" w:color="auto" w:fill="auto"/>
            <w:vAlign w:val="center"/>
          </w:tcPr>
          <w:p w14:paraId="284190D5">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NB-IoT</w:t>
            </w:r>
          </w:p>
        </w:tc>
        <w:tc>
          <w:tcPr>
            <w:tcW w:w="2178" w:type="dxa"/>
            <w:shd w:val="clear" w:color="auto" w:fill="auto"/>
            <w:vAlign w:val="center"/>
          </w:tcPr>
          <w:p w14:paraId="698575C3">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±20 ppm</w:t>
            </w:r>
          </w:p>
        </w:tc>
        <w:tc>
          <w:tcPr>
            <w:tcW w:w="1849" w:type="dxa"/>
            <w:shd w:val="clear" w:color="auto" w:fill="auto"/>
            <w:vAlign w:val="center"/>
          </w:tcPr>
          <w:p w14:paraId="0D8453E3">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±20 ppm</w:t>
            </w:r>
          </w:p>
        </w:tc>
        <w:tc>
          <w:tcPr>
            <w:tcW w:w="2002" w:type="dxa"/>
            <w:shd w:val="clear" w:color="auto" w:fill="auto"/>
            <w:vAlign w:val="center"/>
          </w:tcPr>
          <w:p w14:paraId="502DBC74">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±20 ppm</w:t>
            </w:r>
          </w:p>
        </w:tc>
        <w:tc>
          <w:tcPr>
            <w:tcW w:w="2024" w:type="dxa"/>
            <w:shd w:val="clear" w:color="auto" w:fill="auto"/>
            <w:vAlign w:val="center"/>
          </w:tcPr>
          <w:p w14:paraId="1A5E72E4">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Includes Doppler; low-cost crystal</w:t>
            </w:r>
          </w:p>
        </w:tc>
      </w:tr>
      <w:tr w14:paraId="2232CD33">
        <w:tc>
          <w:tcPr>
            <w:tcW w:w="1364" w:type="dxa"/>
            <w:shd w:val="clear" w:color="auto" w:fill="auto"/>
            <w:vAlign w:val="center"/>
          </w:tcPr>
          <w:p w14:paraId="15599D6C">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LTE Cat-M</w:t>
            </w:r>
          </w:p>
        </w:tc>
        <w:tc>
          <w:tcPr>
            <w:tcW w:w="2178" w:type="dxa"/>
            <w:shd w:val="clear" w:color="auto" w:fill="auto"/>
            <w:vAlign w:val="center"/>
          </w:tcPr>
          <w:p w14:paraId="11FC15DF">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1849" w:type="dxa"/>
            <w:shd w:val="clear" w:color="auto" w:fill="auto"/>
            <w:vAlign w:val="center"/>
          </w:tcPr>
          <w:p w14:paraId="122B59A8">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±0.5 ppm</w:t>
            </w:r>
          </w:p>
        </w:tc>
        <w:tc>
          <w:tcPr>
            <w:tcW w:w="2002" w:type="dxa"/>
            <w:shd w:val="clear" w:color="auto" w:fill="auto"/>
            <w:vAlign w:val="center"/>
          </w:tcPr>
          <w:p w14:paraId="11210BCB">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2024" w:type="dxa"/>
            <w:shd w:val="clear" w:color="auto" w:fill="auto"/>
            <w:vAlign w:val="center"/>
          </w:tcPr>
          <w:p w14:paraId="340715D8">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Same as LTE</w:t>
            </w:r>
          </w:p>
        </w:tc>
      </w:tr>
      <w:tr w14:paraId="18F8DC5F">
        <w:tc>
          <w:tcPr>
            <w:tcW w:w="1364" w:type="dxa"/>
            <w:shd w:val="clear" w:color="auto" w:fill="auto"/>
            <w:vAlign w:val="center"/>
          </w:tcPr>
          <w:p w14:paraId="3BFE831C">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NR RedCap(FR1)</w:t>
            </w:r>
          </w:p>
        </w:tc>
        <w:tc>
          <w:tcPr>
            <w:tcW w:w="2178" w:type="dxa"/>
            <w:shd w:val="clear" w:color="auto" w:fill="auto"/>
            <w:vAlign w:val="center"/>
          </w:tcPr>
          <w:p w14:paraId="402A7498">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1849" w:type="dxa"/>
            <w:shd w:val="clear" w:color="auto" w:fill="auto"/>
            <w:vAlign w:val="center"/>
          </w:tcPr>
          <w:p w14:paraId="29698F9D">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±0.5 ppm</w:t>
            </w:r>
          </w:p>
        </w:tc>
        <w:tc>
          <w:tcPr>
            <w:tcW w:w="2002" w:type="dxa"/>
            <w:shd w:val="clear" w:color="auto" w:fill="auto"/>
            <w:vAlign w:val="center"/>
          </w:tcPr>
          <w:p w14:paraId="40CDA48D">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2024" w:type="dxa"/>
            <w:shd w:val="clear" w:color="auto" w:fill="auto"/>
            <w:vAlign w:val="center"/>
          </w:tcPr>
          <w:p w14:paraId="3ABB07C7">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Same as standard NR</w:t>
            </w:r>
          </w:p>
        </w:tc>
      </w:tr>
      <w:tr w14:paraId="133D3F1E">
        <w:tc>
          <w:tcPr>
            <w:tcW w:w="1364" w:type="dxa"/>
            <w:shd w:val="clear" w:color="auto" w:fill="auto"/>
            <w:vAlign w:val="center"/>
          </w:tcPr>
          <w:p w14:paraId="5A070E11">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5G eMBB (FR1)</w:t>
            </w:r>
          </w:p>
        </w:tc>
        <w:tc>
          <w:tcPr>
            <w:tcW w:w="2178" w:type="dxa"/>
            <w:shd w:val="clear" w:color="auto" w:fill="auto"/>
            <w:vAlign w:val="center"/>
          </w:tcPr>
          <w:p w14:paraId="42583529">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1849" w:type="dxa"/>
            <w:shd w:val="clear" w:color="auto" w:fill="auto"/>
            <w:vAlign w:val="center"/>
          </w:tcPr>
          <w:p w14:paraId="5E39EEAC">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±0.5 ppm</w:t>
            </w:r>
          </w:p>
        </w:tc>
        <w:tc>
          <w:tcPr>
            <w:tcW w:w="2002" w:type="dxa"/>
            <w:shd w:val="clear" w:color="auto" w:fill="auto"/>
            <w:vAlign w:val="center"/>
          </w:tcPr>
          <w:p w14:paraId="163D5D90">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2024" w:type="dxa"/>
            <w:shd w:val="clear" w:color="auto" w:fill="auto"/>
            <w:vAlign w:val="center"/>
          </w:tcPr>
          <w:p w14:paraId="1633C1FC">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FR2 stricter: ~±0.05 ppm</w:t>
            </w:r>
          </w:p>
        </w:tc>
      </w:tr>
    </w:tbl>
    <w:p w14:paraId="4AE5B69D">
      <w:pPr>
        <w:pStyle w:val="5"/>
        <w:rPr>
          <w:rFonts w:ascii="Times New Roman Bold" w:hAnsi="Times New Roman Bold" w:cs="Times New Roman Bold"/>
          <w:b/>
          <w:bCs/>
          <w:lang w:eastAsia="zh-CN"/>
        </w:rPr>
      </w:pPr>
    </w:p>
    <w:p w14:paraId="6589F210">
      <w:pPr>
        <w:pStyle w:val="5"/>
        <w:rPr>
          <w:rFonts w:ascii="Times New Roman Bold Italic" w:hAnsi="Times New Roman Bold Italic" w:cs="Times New Roman Bold Italic"/>
          <w:b/>
          <w:bCs/>
          <w:i/>
          <w:iCs/>
          <w:sz w:val="24"/>
          <w:szCs w:val="24"/>
          <w:lang w:eastAsia="zh-CN"/>
        </w:rPr>
      </w:pPr>
      <w:r>
        <w:rPr>
          <w:rFonts w:ascii="Times New Roman Bold Italic" w:hAnsi="Times New Roman Bold Italic" w:cs="Times New Roman Bold Italic"/>
          <w:b/>
          <w:bCs/>
          <w:i/>
          <w:iCs/>
          <w:sz w:val="24"/>
          <w:szCs w:val="24"/>
        </w:rPr>
        <w:t>Observation 3:</w:t>
      </w:r>
      <w:r>
        <w:rPr>
          <w:rFonts w:ascii="Times New Roman Bold Italic" w:hAnsi="Times New Roman Bold Italic" w:cs="Times New Roman Bold Italic"/>
          <w:b/>
          <w:bCs/>
          <w:i/>
          <w:iCs/>
          <w:sz w:val="24"/>
          <w:szCs w:val="24"/>
          <w:lang w:eastAsia="zh-CN"/>
        </w:rPr>
        <w:t xml:space="preserve"> If </w:t>
      </w:r>
      <w:r>
        <w:rPr>
          <w:rFonts w:hint="eastAsia" w:ascii="Times New Roman Bold Italic" w:hAnsi="Times New Roman Bold Italic" w:cs="Times New Roman Bold Italic"/>
          <w:b/>
          <w:bCs/>
          <w:i/>
          <w:iCs/>
          <w:sz w:val="24"/>
          <w:szCs w:val="24"/>
          <w:lang w:eastAsia="zh-CN"/>
        </w:rPr>
        <w:t>diverse terminal</w:t>
      </w:r>
      <w:r>
        <w:rPr>
          <w:rFonts w:ascii="Times New Roman Bold Italic" w:hAnsi="Times New Roman Bold Italic" w:cs="Times New Roman Bold Italic"/>
          <w:b/>
          <w:bCs/>
          <w:i/>
          <w:iCs/>
          <w:sz w:val="24"/>
          <w:szCs w:val="24"/>
          <w:lang w:eastAsia="zh-CN"/>
        </w:rPr>
        <w:t xml:space="preserve"> </w:t>
      </w:r>
      <w:r>
        <w:rPr>
          <w:rFonts w:hint="eastAsia" w:ascii="Times New Roman Bold Italic" w:hAnsi="Times New Roman Bold Italic" w:cs="Times New Roman Bold Italic"/>
          <w:b/>
          <w:bCs/>
          <w:i/>
          <w:iCs/>
          <w:sz w:val="24"/>
          <w:szCs w:val="24"/>
          <w:lang w:eastAsia="zh-CN"/>
        </w:rPr>
        <w:t>being</w:t>
      </w:r>
      <w:r>
        <w:rPr>
          <w:rFonts w:ascii="Times New Roman Bold Italic" w:hAnsi="Times New Roman Bold Italic" w:cs="Times New Roman Bold Italic"/>
          <w:b/>
          <w:bCs/>
          <w:i/>
          <w:iCs/>
          <w:sz w:val="24"/>
          <w:szCs w:val="24"/>
          <w:lang w:eastAsia="zh-CN"/>
        </w:rPr>
        <w:t xml:space="preserve"> </w:t>
      </w:r>
      <w:r>
        <w:rPr>
          <w:rFonts w:hint="eastAsia" w:ascii="Times New Roman Bold Italic" w:hAnsi="Times New Roman Bold Italic" w:cs="Times New Roman Bold Italic"/>
          <w:b/>
          <w:bCs/>
          <w:i/>
          <w:iCs/>
          <w:sz w:val="24"/>
          <w:szCs w:val="24"/>
          <w:lang w:eastAsia="zh-CN"/>
        </w:rPr>
        <w:t>supported</w:t>
      </w:r>
      <w:r>
        <w:rPr>
          <w:rFonts w:ascii="Times New Roman Bold Italic" w:hAnsi="Times New Roman Bold Italic" w:cs="Times New Roman Bold Italic"/>
          <w:b/>
          <w:bCs/>
          <w:i/>
          <w:iCs/>
          <w:sz w:val="24"/>
          <w:szCs w:val="24"/>
          <w:lang w:eastAsia="zh-CN"/>
        </w:rPr>
        <w:t xml:space="preserve"> multiple </w:t>
      </w:r>
      <w:r>
        <w:rPr>
          <w:rFonts w:hint="eastAsia" w:ascii="Times New Roman Bold Italic" w:hAnsi="Times New Roman Bold Italic" w:cs="Times New Roman Bold Italic"/>
          <w:b/>
          <w:bCs/>
          <w:i/>
          <w:iCs/>
          <w:sz w:val="24"/>
          <w:szCs w:val="24"/>
          <w:lang w:eastAsia="zh-CN"/>
        </w:rPr>
        <w:t xml:space="preserve">power </w:t>
      </w:r>
      <w:r>
        <w:rPr>
          <w:rFonts w:ascii="Times New Roman Bold Italic" w:hAnsi="Times New Roman Bold Italic" w:cs="Times New Roman Bold Italic"/>
          <w:b/>
          <w:bCs/>
          <w:i/>
          <w:iCs/>
          <w:sz w:val="24"/>
          <w:szCs w:val="24"/>
          <w:lang w:eastAsia="zh-CN"/>
        </w:rPr>
        <w:t xml:space="preserve">consumption modes or RATs, it is a better way to reduce power consumption and unify design </w:t>
      </w:r>
      <w:r>
        <w:rPr>
          <w:rFonts w:hint="eastAsia" w:ascii="Times New Roman Bold Italic" w:hAnsi="Times New Roman Bold Italic" w:cs="Times New Roman Bold Italic"/>
          <w:b/>
          <w:bCs/>
          <w:i/>
          <w:iCs/>
          <w:sz w:val="24"/>
          <w:szCs w:val="24"/>
          <w:lang w:eastAsia="zh-CN"/>
        </w:rPr>
        <w:t>for all terminals</w:t>
      </w:r>
      <w:r>
        <w:rPr>
          <w:rFonts w:ascii="Times New Roman Bold Italic" w:hAnsi="Times New Roman Bold Italic" w:cs="Times New Roman Bold Italic"/>
          <w:b/>
          <w:bCs/>
          <w:i/>
          <w:iCs/>
          <w:sz w:val="24"/>
          <w:szCs w:val="24"/>
          <w:lang w:eastAsia="zh-CN"/>
        </w:rPr>
        <w:t xml:space="preserve">. </w:t>
      </w:r>
    </w:p>
    <w:p w14:paraId="058400C2">
      <w:pPr>
        <w:pStyle w:val="5"/>
        <w:rPr>
          <w:rFonts w:ascii="Times New Roman Bold" w:hAnsi="Times New Roman Bold" w:cs="Times New Roman Bold"/>
          <w:b/>
          <w:bCs/>
          <w:lang w:eastAsia="zh-CN"/>
        </w:rPr>
      </w:pPr>
    </w:p>
    <w:p w14:paraId="10A77D1F">
      <w:pPr>
        <w:pStyle w:val="5"/>
        <w:rPr>
          <w:rFonts w:ascii="Times New Roman Bold" w:hAnsi="Times New Roman Bold" w:cs="Times New Roman Bold"/>
          <w:b/>
          <w:bCs/>
          <w:lang w:eastAsia="zh-CN"/>
        </w:rPr>
      </w:pPr>
    </w:p>
    <w:p w14:paraId="012C552A">
      <w:pPr>
        <w:pStyle w:val="3"/>
        <w:rPr>
          <w:lang w:eastAsia="zh-CN"/>
        </w:rPr>
      </w:pPr>
      <w:r>
        <w:rPr>
          <w:lang w:eastAsia="zh-CN"/>
        </w:rPr>
        <w:t xml:space="preserve"> </w:t>
      </w:r>
      <w:r>
        <w:rPr>
          <w:rFonts w:hint="eastAsia"/>
          <w:lang w:eastAsia="zh-CN"/>
        </w:rPr>
        <w:t>Multi-capability UE cha</w:t>
      </w:r>
      <w:r>
        <w:rPr>
          <w:lang w:eastAsia="zh-CN"/>
        </w:rPr>
        <w:t>llenges</w:t>
      </w:r>
    </w:p>
    <w:p w14:paraId="16EF1FD3">
      <w:pPr>
        <w:jc w:val="center"/>
        <w:rPr>
          <w:lang w:eastAsia="zh-CN"/>
        </w:rPr>
      </w:pPr>
      <w:r>
        <w:drawing>
          <wp:inline distT="0" distB="0" distL="114300" distR="114300">
            <wp:extent cx="2790190" cy="1734185"/>
            <wp:effectExtent l="0" t="0" r="0" b="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7"/>
                    <a:srcRect l="3415" t="27053" r="46612" b="16540"/>
                    <a:stretch>
                      <a:fillRect/>
                    </a:stretch>
                  </pic:blipFill>
                  <pic:spPr>
                    <a:xfrm>
                      <a:off x="0" y="0"/>
                      <a:ext cx="2790190" cy="1734185"/>
                    </a:xfrm>
                    <a:prstGeom prst="rect">
                      <a:avLst/>
                    </a:prstGeom>
                    <a:noFill/>
                    <a:ln>
                      <a:noFill/>
                    </a:ln>
                  </pic:spPr>
                </pic:pic>
              </a:graphicData>
            </a:graphic>
          </wp:inline>
        </w:drawing>
      </w:r>
    </w:p>
    <w:p w14:paraId="69099B92">
      <w:pPr>
        <w:rPr>
          <w:lang w:eastAsia="zh-CN"/>
        </w:rPr>
      </w:pPr>
      <w:r>
        <w:rPr>
          <w:lang w:eastAsia="zh-CN"/>
        </w:rPr>
        <w:t xml:space="preserve">With the diverse terminal types above, there is increasing interest in multi-capability UEs – devices that support multiple modes or radio access technologies (RATs) (e.g. a single device operating in both 5G RedCap and LTE-M/NB-IoT, or a smartphone that can downscale to an IoT mode). Such UEs offer flexibility (for example, using a high-bandwidth 5G link when available and falling back to a coverage-enhanced LTE IoT link in remote areas), as well as they also face </w:t>
      </w:r>
      <w:r>
        <w:rPr>
          <w:rFonts w:hint="eastAsia"/>
          <w:lang w:eastAsia="zh-CN"/>
        </w:rPr>
        <w:t>some</w:t>
      </w:r>
      <w:r>
        <w:rPr>
          <w:lang w:eastAsia="zh-CN"/>
        </w:rPr>
        <w:t xml:space="preserve"> issues in mode switching, and minimizing power overhead.</w:t>
      </w:r>
    </w:p>
    <w:p w14:paraId="03F09A9B">
      <w:pPr>
        <w:numPr>
          <w:ilvl w:val="0"/>
          <w:numId w:val="14"/>
        </w:numPr>
        <w:rPr>
          <w:lang w:eastAsia="zh-CN"/>
        </w:rPr>
      </w:pPr>
      <w:r>
        <w:rPr>
          <w:rFonts w:ascii="Times New Roman Bold" w:hAnsi="Times New Roman Bold" w:cs="Times New Roman Bold"/>
          <w:b/>
          <w:bCs/>
          <w:lang w:eastAsia="zh-CN"/>
        </w:rPr>
        <w:t>Mode Switching and Minimizing Power Overhead:</w:t>
      </w:r>
      <w:r>
        <w:rPr>
          <w:lang w:eastAsia="zh-CN"/>
        </w:rPr>
        <w:t xml:space="preserve"> A multi-RAT or multi-mode device must handle different radio protocols and possibly maintain multiple registrations. Unlike a single-mode UE, which has one RRC state machine active at a time, a dual-mode (say NR + LTE-M) UE might need to switch between two RRC connections. In practice, the device will typically camp on one RAT and only attach to the other as needed, since simultaneous active connections are often not feasible for NB-IoT/LTE-M and NR (there is no defined dual connectivity combining NB-IoT with 5G). This means that mode switching often involves an RRC release on one system and a new RRC connection, incurring latency and signaling overhead.  This inter-RAT transition can take on the order of seconds, as the UE must perform cell search, synchronization, and authentication on the new RAT. Thus, multi-capability UEs must intelligently decide when to switch modes, to minimize frequent toggling. Ensuring seamless coverage without excessive reconnection signaling remains an RRC-level challenge. Network support is also crucial: the device’s capabilities (which modes it supports) are signaled to the network, and the network may need to assist – for instance, by redirecting an IoT device to LTE-M if it detects the UE’s 5G signal is fading.</w:t>
      </w:r>
    </w:p>
    <w:p w14:paraId="2BB98FBF">
      <w:pPr>
        <w:numPr>
          <w:ilvl w:val="0"/>
          <w:numId w:val="14"/>
        </w:numPr>
        <w:rPr>
          <w:lang w:eastAsia="zh-CN"/>
        </w:rPr>
      </w:pPr>
      <w:r>
        <w:rPr>
          <w:rFonts w:ascii="Times New Roman Bold" w:hAnsi="Times New Roman Bold" w:cs="Times New Roman Bold"/>
          <w:b/>
          <w:bCs/>
          <w:lang w:eastAsia="zh-CN"/>
        </w:rPr>
        <w:t>Power Overhead</w:t>
      </w:r>
    </w:p>
    <w:p w14:paraId="7FC04237">
      <w:pPr>
        <w:numPr>
          <w:ilvl w:val="0"/>
          <w:numId w:val="15"/>
        </w:numPr>
        <w:ind w:left="840"/>
        <w:rPr>
          <w:lang w:eastAsia="zh-CN"/>
        </w:rPr>
      </w:pPr>
      <w:r>
        <w:rPr>
          <w:rFonts w:ascii="Times New Roman Bold" w:hAnsi="Times New Roman Bold" w:cs="Times New Roman Bold"/>
          <w:b/>
          <w:bCs/>
          <w:lang w:eastAsia="zh-CN"/>
        </w:rPr>
        <w:t>Extra power overhead for sleep requirement mismatching</w:t>
      </w:r>
      <w:r>
        <w:rPr>
          <w:lang w:eastAsia="zh-CN"/>
        </w:rPr>
        <w:t xml:space="preserve">: Even if only one radio is active at a time, the UE may need to periodically monitor or at least be aware of the other system. For instance, a dual LTE-M/NB-IoT + NR RedCap module might normally stay on the NR network with a relatively short DRX cycle, but it also must occasionally scan for LTE-M/NB-IoT coverage when NR signal is weak (to decide if it should switch). Scanning on a second RAT during what would otherwise be sleep periods can eat into the power savings from DRX. </w:t>
      </w:r>
    </w:p>
    <w:p w14:paraId="076C6D30">
      <w:pPr>
        <w:numPr>
          <w:ilvl w:val="0"/>
          <w:numId w:val="15"/>
        </w:numPr>
        <w:ind w:left="840"/>
        <w:rPr>
          <w:lang w:eastAsia="zh-CN"/>
        </w:rPr>
      </w:pPr>
      <w:r>
        <w:rPr>
          <w:rFonts w:ascii="Times New Roman Bold" w:hAnsi="Times New Roman Bold" w:cs="Times New Roman Bold"/>
          <w:b/>
          <w:bCs/>
          <w:lang w:eastAsia="zh-CN"/>
        </w:rPr>
        <w:t>Signal processing and memory overhead</w:t>
      </w:r>
      <w:r>
        <w:rPr>
          <w:lang w:eastAsia="zh-CN"/>
        </w:rPr>
        <w:t xml:space="preserve">: a multi-capability UE needs to maintain firmware for multiple protocols (increasing memory usage) and possibly dual baseband processing paths. When active on one mode, the unused baseband can be clock-gated (turned off) to save energy, but mode switching will then require a context switch that might involve loading firmware, re-initializing the RF for the other band, etc., which is energy-expensive if done frequently. In practice, manufacturers optimize hardware so that, for example, an LTE-M/NB-IoT dual modem shares as much circuitry as possible between modes, and only a single radio chain is used (tuned to different bands as needed). This minimizes added power draw, but a penalty remains – the chip is larger and not as finely optimized for one mode. </w:t>
      </w:r>
    </w:p>
    <w:p w14:paraId="1167F1B0">
      <w:pPr>
        <w:numPr>
          <w:ilvl w:val="0"/>
          <w:numId w:val="14"/>
        </w:numPr>
        <w:rPr>
          <w:rFonts w:ascii="Times New Roman Bold" w:hAnsi="Times New Roman Bold" w:cs="Times New Roman Bold"/>
          <w:b/>
          <w:bCs/>
          <w:lang w:eastAsia="zh-CN"/>
        </w:rPr>
      </w:pPr>
      <w:r>
        <w:rPr>
          <w:rFonts w:ascii="Times New Roman Bold" w:hAnsi="Times New Roman Bold" w:cs="Times New Roman Bold"/>
          <w:b/>
          <w:bCs/>
          <w:lang w:eastAsia="zh-CN"/>
        </w:rPr>
        <w:t>Multi-c</w:t>
      </w:r>
      <w:r>
        <w:rPr>
          <w:rFonts w:hint="eastAsia" w:ascii="Times New Roman Bold" w:hAnsi="Times New Roman Bold" w:cs="Times New Roman Bold"/>
          <w:b/>
          <w:bCs/>
          <w:lang w:eastAsia="zh-CN"/>
        </w:rPr>
        <w:t>apabilit</w:t>
      </w:r>
      <w:r>
        <w:rPr>
          <w:rFonts w:ascii="Times New Roman Bold" w:hAnsi="Times New Roman Bold" w:cs="Times New Roman Bold"/>
          <w:b/>
          <w:bCs/>
          <w:lang w:eastAsia="zh-CN"/>
        </w:rPr>
        <w:t>y Mismatching Related Issues:</w:t>
      </w:r>
      <w:r>
        <w:rPr>
          <w:rFonts w:hint="eastAsia" w:ascii="Times New Roman Bold" w:hAnsi="Times New Roman Bold" w:cs="Times New Roman Bold"/>
          <w:b/>
          <w:bCs/>
          <w:lang w:eastAsia="zh-CN"/>
        </w:rPr>
        <w:t xml:space="preserve"> </w:t>
      </w:r>
      <w:r>
        <w:rPr>
          <w:lang w:eastAsia="zh-CN"/>
        </w:rPr>
        <w:t xml:space="preserve">In 6G, integrating multiple capabilities such as eMBB, RedCap, and IoT within a single terminal introduces significant challenges. Each capability has distinct requirements in terms of latency, bandwidth, coverage, and energy efficiency. For example, eMBB demands high throughput and wide bandwidth, while IoT focuses on ultra-low power and extended coverage, and RedCap targets mid-tier performance. This mismatch can cause conflicts in scheduling, resource allocation, and waveform selection. Harmonizing diverse protocol configurations, PHY/MAC procedures, and signaling formats becomes complex, especially when optimizing for both high-performance and low-power modes. </w:t>
      </w:r>
    </w:p>
    <w:p w14:paraId="46F5CA14">
      <w:pPr>
        <w:rPr>
          <w:lang w:eastAsia="zh-CN"/>
        </w:rPr>
      </w:pPr>
      <w:r>
        <w:rPr>
          <w:lang w:eastAsia="zh-CN"/>
        </w:rPr>
        <w:t xml:space="preserve">In summary, multi-capability UE brings flexibility but require careful some issues above based on hardware capability to avoid “undoing” the power-saving gains of the individual technologies. Network-assisted mode switching (e.g. the network only directs the UE to switch RATs when absolutely necessary) and features like long eDRX, RRC_INACTIVE, and </w:t>
      </w:r>
      <w:r>
        <w:rPr>
          <w:rFonts w:hint="eastAsia"/>
          <w:lang w:eastAsia="zh-CN"/>
        </w:rPr>
        <w:t>WUS</w:t>
      </w:r>
      <w:r>
        <w:rPr>
          <w:lang w:eastAsia="zh-CN"/>
        </w:rPr>
        <w:t xml:space="preserve"> are key to making such devices feasible. Ongoing 3GPP work in Releases 17 and 18 (for example, specifying multi-RAT dual connectivity for LPWA and NR, and allowing longer paging cycles in 5G) aims to mitigate these challenges. Device and chipset implementations will also play a big role, ensuring that unused transceivers can be completely shut off and that context switching is efficient. As 6G develop</w:t>
      </w:r>
      <w:r>
        <w:rPr>
          <w:rFonts w:hint="eastAsia"/>
          <w:lang w:eastAsia="zh-CN"/>
        </w:rPr>
        <w:t>ment</w:t>
      </w:r>
      <w:r>
        <w:rPr>
          <w:lang w:eastAsia="zh-CN"/>
        </w:rPr>
        <w:t>, we expect more solutions to support multi-mode operation without significantly compromising battery life.</w:t>
      </w:r>
    </w:p>
    <w:p w14:paraId="0F413752">
      <w:pPr>
        <w:pStyle w:val="5"/>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eastAsia="zh-CN"/>
        </w:rPr>
        <w:t>4</w:t>
      </w:r>
      <w:r>
        <w:rPr>
          <w:rFonts w:ascii="Times New Roman Bold Italic" w:hAnsi="Times New Roman Bold Italic" w:cs="Times New Roman Bold Italic"/>
          <w:b/>
          <w:bCs/>
          <w:i/>
          <w:iCs/>
          <w:sz w:val="22"/>
          <w:szCs w:val="22"/>
        </w:rPr>
        <w:t>:</w:t>
      </w:r>
      <w:r>
        <w:rPr>
          <w:rFonts w:ascii="Times New Roman Bold Italic" w:hAnsi="Times New Roman Bold Italic" w:cs="Times New Roman Bold Italic"/>
          <w:b/>
          <w:bCs/>
          <w:i/>
          <w:iCs/>
          <w:sz w:val="22"/>
          <w:szCs w:val="22"/>
          <w:lang w:eastAsia="zh-CN"/>
        </w:rPr>
        <w:t xml:space="preserve"> If one terminal with multi-capability to support multiple </w:t>
      </w:r>
      <w:r>
        <w:rPr>
          <w:rFonts w:hint="eastAsia" w:ascii="Times New Roman Bold Italic" w:hAnsi="Times New Roman Bold Italic" w:cs="Times New Roman Bold Italic"/>
          <w:b/>
          <w:bCs/>
          <w:i/>
          <w:iCs/>
          <w:sz w:val="22"/>
          <w:szCs w:val="22"/>
          <w:lang w:eastAsia="zh-CN"/>
        </w:rPr>
        <w:t xml:space="preserve">power </w:t>
      </w:r>
      <w:r>
        <w:rPr>
          <w:rFonts w:ascii="Times New Roman Bold Italic" w:hAnsi="Times New Roman Bold Italic" w:cs="Times New Roman Bold Italic"/>
          <w:b/>
          <w:bCs/>
          <w:i/>
          <w:iCs/>
          <w:sz w:val="22"/>
          <w:szCs w:val="22"/>
          <w:lang w:eastAsia="zh-CN"/>
        </w:rPr>
        <w:t>consumption modes or RATs, it is a better way to unify design for one terminal</w:t>
      </w:r>
      <w:r>
        <w:rPr>
          <w:rFonts w:hint="eastAsia" w:ascii="Times New Roman Bold Italic" w:hAnsi="Times New Roman Bold Italic" w:cs="Times New Roman Bold Italic"/>
          <w:b/>
          <w:bCs/>
          <w:i/>
          <w:iCs/>
          <w:sz w:val="22"/>
          <w:szCs w:val="22"/>
          <w:lang w:eastAsia="zh-CN"/>
        </w:rPr>
        <w:t xml:space="preserve"> with</w:t>
      </w:r>
      <w:r>
        <w:rPr>
          <w:rFonts w:ascii="Times New Roman Bold Italic" w:hAnsi="Times New Roman Bold Italic" w:cs="Times New Roman Bold Italic"/>
          <w:b/>
          <w:bCs/>
          <w:i/>
          <w:iCs/>
          <w:sz w:val="22"/>
          <w:szCs w:val="22"/>
          <w:lang w:eastAsia="zh-CN"/>
        </w:rPr>
        <w:t xml:space="preserve"> multi-capability. </w:t>
      </w:r>
    </w:p>
    <w:p w14:paraId="2E1A9E8C">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eastAsia="zh-CN"/>
        </w:rPr>
        <w:t>5</w:t>
      </w:r>
      <w:r>
        <w:rPr>
          <w:rFonts w:ascii="Times New Roman Bold Italic" w:hAnsi="Times New Roman Bold Italic" w:cs="Times New Roman Bold Italic"/>
          <w:b/>
          <w:bCs/>
          <w:i/>
          <w:iCs/>
          <w:sz w:val="22"/>
          <w:szCs w:val="22"/>
        </w:rPr>
        <w:t xml:space="preserve">: For </w:t>
      </w:r>
      <w:r>
        <w:rPr>
          <w:rFonts w:ascii="Times New Roman Bold Italic" w:hAnsi="Times New Roman Bold Italic" w:cs="Times New Roman Bold Italic"/>
          <w:b/>
          <w:bCs/>
          <w:i/>
          <w:iCs/>
          <w:sz w:val="22"/>
          <w:szCs w:val="22"/>
          <w:lang w:eastAsia="zh-CN"/>
        </w:rPr>
        <w:t xml:space="preserve">one terminal with multi-capability to support multiple </w:t>
      </w:r>
      <w:r>
        <w:rPr>
          <w:rFonts w:hint="eastAsia" w:ascii="Times New Roman Bold Italic" w:hAnsi="Times New Roman Bold Italic" w:cs="Times New Roman Bold Italic"/>
          <w:b/>
          <w:bCs/>
          <w:i/>
          <w:iCs/>
          <w:sz w:val="22"/>
          <w:szCs w:val="22"/>
          <w:lang w:eastAsia="zh-CN"/>
        </w:rPr>
        <w:t xml:space="preserve">power </w:t>
      </w:r>
      <w:r>
        <w:rPr>
          <w:rFonts w:ascii="Times New Roman Bold Italic" w:hAnsi="Times New Roman Bold Italic" w:cs="Times New Roman Bold Italic"/>
          <w:b/>
          <w:bCs/>
          <w:i/>
          <w:iCs/>
          <w:sz w:val="22"/>
          <w:szCs w:val="22"/>
          <w:lang w:eastAsia="zh-CN"/>
        </w:rPr>
        <w:t>consumption modes or RATs,</w:t>
      </w:r>
      <w:r>
        <w:rPr>
          <w:rFonts w:ascii="Times New Roman Bold Italic" w:hAnsi="Times New Roman Bold Italic" w:cs="Times New Roman Bold Italic"/>
          <w:b/>
          <w:bCs/>
          <w:i/>
          <w:iCs/>
          <w:sz w:val="22"/>
          <w:szCs w:val="22"/>
        </w:rPr>
        <w:t xml:space="preserve"> some potential </w:t>
      </w:r>
      <w:r>
        <w:rPr>
          <w:rFonts w:hint="eastAsia" w:ascii="Times New Roman Bold Italic" w:hAnsi="Times New Roman Bold Italic" w:cs="Times New Roman Bold Italic"/>
          <w:b/>
          <w:bCs/>
          <w:i/>
          <w:iCs/>
          <w:sz w:val="22"/>
          <w:szCs w:val="22"/>
          <w:lang w:eastAsia="zh-CN"/>
        </w:rPr>
        <w:t>issues</w:t>
      </w:r>
      <w:r>
        <w:rPr>
          <w:rFonts w:ascii="Times New Roman Bold Italic" w:hAnsi="Times New Roman Bold Italic" w:cs="Times New Roman Bold Italic"/>
          <w:b/>
          <w:bCs/>
          <w:i/>
          <w:iCs/>
          <w:sz w:val="22"/>
          <w:szCs w:val="22"/>
        </w:rPr>
        <w:t xml:space="preserve"> could be discovered in multi-capability mismatching, mode switching, and minimizing power overhead.</w:t>
      </w:r>
    </w:p>
    <w:p w14:paraId="339DF3A9">
      <w:pPr>
        <w:pStyle w:val="3"/>
        <w:numPr>
          <w:ilvl w:val="1"/>
          <w:numId w:val="0"/>
        </w:numPr>
      </w:pPr>
      <w:r>
        <w:t>2.3 6G Terminal Classification and Minimum Device Requirements</w:t>
      </w:r>
    </w:p>
    <w:p w14:paraId="5D8B4AE5">
      <w:pPr>
        <w:pStyle w:val="83"/>
      </w:pPr>
      <w:r>
        <w:t xml:space="preserve">Looking ahead to 6G, </w:t>
      </w:r>
      <w:r>
        <w:rPr>
          <w:rFonts w:hint="eastAsia"/>
          <w:lang w:eastAsia="zh-CN"/>
        </w:rPr>
        <w:t>AI 11.1 or</w:t>
      </w:r>
      <w:r>
        <w:rPr>
          <w:lang w:eastAsia="zh-CN"/>
        </w:rPr>
        <w:t xml:space="preserve"> RAN# 109</w:t>
      </w:r>
      <w:r>
        <w:t xml:space="preserve"> is discussing a more structured classification of UEs from day</w:t>
      </w:r>
      <w:r>
        <w:rPr>
          <w:rFonts w:hint="eastAsia"/>
          <w:lang w:eastAsia="zh-CN"/>
        </w:rPr>
        <w:t>-1</w:t>
      </w:r>
      <w:r>
        <w:t xml:space="preserve">. Unlike 4G/5G where device tiers (like RedCap) were introduced later, </w:t>
      </w:r>
      <w:r>
        <w:rPr>
          <w:b/>
          <w:bCs/>
        </w:rPr>
        <w:t>6G is expected to define a limited set of diverse UE classes in the first release</w:t>
      </w:r>
      <w:r>
        <w:t>. The goal is to tailor requirements for each class to its use-case profile (e.g. extreme broadband vs massive IoT) and thereby optimize energy efficiency through appropriate complexity scaling.</w:t>
      </w:r>
    </w:p>
    <w:p w14:paraId="08C2EE29">
      <w:pPr>
        <w:pStyle w:val="5"/>
        <w:outlineLvl w:val="2"/>
        <w:rPr>
          <w:b/>
          <w:bCs/>
        </w:rPr>
      </w:pPr>
      <w:r>
        <w:rPr>
          <w:b/>
          <w:bCs/>
        </w:rPr>
        <w:t>2.3.1 6G</w:t>
      </w:r>
      <w:r>
        <w:rPr>
          <w:rFonts w:hint="eastAsia"/>
          <w:b/>
          <w:bCs/>
          <w:lang w:eastAsia="zh-CN"/>
        </w:rPr>
        <w:t>R</w:t>
      </w:r>
      <w:r>
        <w:rPr>
          <w:b/>
          <w:bCs/>
        </w:rPr>
        <w:t xml:space="preserve"> UE classes and capabilities</w:t>
      </w:r>
    </w:p>
    <w:p w14:paraId="7FFC8813">
      <w:pPr>
        <w:pStyle w:val="5"/>
      </w:pPr>
      <w:r>
        <w:t xml:space="preserve">In a recent multi-operator proposal for 3GPP’s 6G requirements (TR 38.914), companies advocated that </w:t>
      </w:r>
      <w:r>
        <w:rPr>
          <w:b/>
          <w:bCs/>
        </w:rPr>
        <w:t>all 6G UEs support a minimal bandwidth (e.g. 3MHz or 5 MHz) for initial access</w:t>
      </w:r>
      <w:r>
        <w:t xml:space="preserve"> to enable simple, low-cost devices. This ensures even the most basic IoT-class device can acquire the network using a narrow channel. On the other end, </w:t>
      </w:r>
      <w:r>
        <w:rPr>
          <w:b/>
          <w:bCs/>
        </w:rPr>
        <w:t>6G eMBB (high-performance) UEs would have specific minimum capabilities</w:t>
      </w:r>
      <w:r>
        <w:t xml:space="preserve">. For example, operators proposed that an eMBB-class UE should support at least </w:t>
      </w:r>
      <w:r>
        <w:rPr>
          <w:b/>
          <w:bCs/>
        </w:rPr>
        <w:t>20 MHz bandwidth</w:t>
      </w:r>
      <w:r>
        <w:t xml:space="preserve"> in low bands (&lt;1 GHz), </w:t>
      </w:r>
      <w:r>
        <w:rPr>
          <w:b/>
          <w:bCs/>
        </w:rPr>
        <w:t>40 MHz</w:t>
      </w:r>
      <w:r>
        <w:t xml:space="preserve"> in mid bands (e.g. 1.5–2.6 GHz), and </w:t>
      </w:r>
      <w:r>
        <w:rPr>
          <w:b/>
          <w:bCs/>
        </w:rPr>
        <w:t>200 MHz</w:t>
      </w:r>
      <w:r>
        <w:t xml:space="preserve"> in high bands (e.g. FR1 above 6 GHz or FR2). These ensure that broadband UEs can exploit wide bandwidth where available. Likewise, baseline MIMO layers were proposed: eMBB UEs should support at least 2 DL MIMO layers (2 Rx antennas) in bands below 1 GHz, and 4 DL layers (4 Rx) in bands above 1 GHz (with corresponding 1 Tx and 2 Tx in uplink). In essence, the 6G eMBB class might resemble a high-end 5G smartphone in capability, while other classes would relax these parameters.</w:t>
      </w:r>
    </w:p>
    <w:p w14:paraId="59841FEB">
      <w:pPr>
        <w:pStyle w:val="5"/>
      </w:pPr>
      <w:r>
        <w:t>Although not explicitly detailed in the proposal, we can infer other potential classes: for instance, a Massive IoT class  focusing on extreme power saving, very narrow bandwidth (perhaps 5 MHz or less operational bandwidth, e.g., ~3MHz), and minimal antennas; and a Mid-tier Broadband class (akin to RedCap or LTE Cat-1/Cat-4 range) with moderate bandwidth (e.g. 20–40 MHz) and MIMO, targeting wearables and industrial sensors. Having a limited set of standardized UE classes allows 3GPP to tune power models and features for each class explicitly. Each class can have its own reference performance and energy targets, which helps ensure that, for example, an IoT-class device can meet multi-year battery life expectations, whereas an eMBB-class device can meet multi-Gbps throughput – and each only incurs the complexity needed for its scope.</w:t>
      </w:r>
    </w:p>
    <w:p w14:paraId="004B2251">
      <w:pPr>
        <w:pStyle w:val="5"/>
      </w:pPr>
      <w:r>
        <w:t>The minimum capability assumptions (bandwidth, MIMO layers, etc.) also feed directly into energy efficiency considerations. A device with fewer RF chains or narrower RF bandwidth can have substantially lower power draw. For instance, reducing from a 4×4 MIMO, 100 MHz design to a 1×1, 20 MHz design cuts both circuit power (fewer ADCs, PAs, LOs) and signal processing complexity. These class definitions, therefore, are an important tool for energy management in 6G: they prevent over-designing low-end devices and ensure high-end devices are at least efficient for the performance they deliver.</w:t>
      </w:r>
    </w:p>
    <w:p w14:paraId="755A52AB">
      <w:pPr>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Observation </w:t>
      </w:r>
      <w:r>
        <w:rPr>
          <w:rFonts w:hint="eastAsia" w:ascii="Times New Roman Bold Italic" w:hAnsi="Times New Roman Bold Italic" w:cs="Times New Roman Bold Italic"/>
          <w:b/>
          <w:bCs/>
          <w:i/>
          <w:iCs/>
          <w:lang w:eastAsia="zh-CN"/>
        </w:rPr>
        <w:t>6</w:t>
      </w:r>
      <w:r>
        <w:rPr>
          <w:rFonts w:ascii="Times New Roman Bold Italic" w:hAnsi="Times New Roman Bold Italic" w:cs="Times New Roman Bold Italic"/>
          <w:b/>
          <w:bCs/>
          <w:i/>
          <w:iCs/>
        </w:rPr>
        <w:t>:</w:t>
      </w:r>
      <w:r>
        <w:rPr>
          <w:rFonts w:ascii="Times New Roman Bold Italic" w:hAnsi="Times New Roman Bold Italic" w:cs="Times New Roman Bold Italic"/>
          <w:b/>
          <w:bCs/>
          <w:i/>
          <w:iCs/>
          <w:lang w:eastAsia="zh-CN"/>
        </w:rPr>
        <w:t xml:space="preserve"> All 6G UEs support a minimal 3–5 MHz access bandwidth, ensuring low-cost IoT devices operate with reduced RF complexity and lower baseline power consumption.</w:t>
      </w:r>
    </w:p>
    <w:p w14:paraId="7EEE0C89">
      <w:pPr>
        <w:pStyle w:val="5"/>
        <w:rPr>
          <w:rFonts w:ascii="Times New Roman Bold Italic" w:hAnsi="Times New Roman Bold Italic" w:cs="Times New Roman Bold Italic"/>
          <w:b/>
          <w:bCs/>
          <w:i/>
          <w:iCs/>
        </w:rPr>
      </w:pPr>
    </w:p>
    <w:p w14:paraId="5F153304">
      <w:pPr>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Observation </w:t>
      </w:r>
      <w:r>
        <w:rPr>
          <w:rFonts w:hint="eastAsia" w:ascii="Times New Roman Bold Italic" w:hAnsi="Times New Roman Bold Italic" w:cs="Times New Roman Bold Italic"/>
          <w:b/>
          <w:bCs/>
          <w:i/>
          <w:iCs/>
          <w:lang w:eastAsia="zh-CN"/>
        </w:rPr>
        <w:t>7</w:t>
      </w:r>
      <w:r>
        <w:rPr>
          <w:rFonts w:ascii="Times New Roman Bold Italic" w:hAnsi="Times New Roman Bold Italic" w:cs="Times New Roman Bold Italic"/>
          <w:b/>
          <w:bCs/>
          <w:i/>
          <w:iCs/>
        </w:rPr>
        <w:t xml:space="preserve">: </w:t>
      </w:r>
      <w:r>
        <w:rPr>
          <w:rFonts w:ascii="Times New Roman Bold Italic" w:hAnsi="Times New Roman Bold Italic" w:cs="Times New Roman Bold Italic"/>
          <w:b/>
          <w:bCs/>
          <w:i/>
          <w:iCs/>
          <w:lang w:eastAsia="zh-CN"/>
        </w:rPr>
        <w:t>6G defines distinct UE classes (IoT, mid-tier, eMBB), enabling tailored power models that avoid over-design and optimize energy efficiency for each performance tier.</w:t>
      </w:r>
    </w:p>
    <w:p w14:paraId="0CEF90AB">
      <w:pPr>
        <w:pStyle w:val="5"/>
        <w:outlineLvl w:val="2"/>
        <w:rPr>
          <w:b/>
          <w:bCs/>
        </w:rPr>
      </w:pPr>
      <w:r>
        <w:rPr>
          <w:b/>
          <w:bCs/>
        </w:rPr>
        <w:t xml:space="preserve">2.3.2 </w:t>
      </w:r>
      <w:r>
        <w:rPr>
          <w:rFonts w:hint="eastAsia"/>
          <w:b/>
          <w:bCs/>
          <w:lang w:eastAsia="zh-CN"/>
        </w:rPr>
        <w:t>UE</w:t>
      </w:r>
      <w:r>
        <w:rPr>
          <w:b/>
          <w:bCs/>
        </w:rPr>
        <w:t xml:space="preserve"> classes </w:t>
      </w:r>
      <w:r>
        <w:rPr>
          <w:rFonts w:hint="eastAsia"/>
          <w:b/>
          <w:bCs/>
          <w:lang w:eastAsia="zh-CN"/>
        </w:rPr>
        <w:t>for</w:t>
      </w:r>
      <w:r>
        <w:rPr>
          <w:b/>
          <w:bCs/>
          <w:lang w:eastAsia="zh-CN"/>
        </w:rPr>
        <w:t xml:space="preserve"> 6GR e</w:t>
      </w:r>
      <w:r>
        <w:rPr>
          <w:b/>
          <w:bCs/>
        </w:rPr>
        <w:t>nergy efficiency</w:t>
      </w:r>
    </w:p>
    <w:p w14:paraId="4699E717">
      <w:pPr>
        <w:pStyle w:val="5"/>
      </w:pPr>
      <w:r>
        <w:t>We concur with the approach of defining a small number of UE classes in 6G, as it can streamline design and ensure each category of devices is optimized for its role. Historically, 5G had to introduce a mid-tier RedCap profile after release 15, recognizing that one size did not fit all. With 6G, embedding device diversity from the start is beneficial. It allows standardizing features like sleep modes, bandwidth parts, and power-saving techniques that are tailored to each class’s needs. For example, an IoT class can incorporate extremely long idle DRX cycles and simple waveforms, whereas an eMBB class can focus on improved spectral efficiency with the understanding that its battery life will be shorter.</w:t>
      </w:r>
    </w:p>
    <w:p w14:paraId="6477C796">
      <w:pPr>
        <w:pStyle w:val="5"/>
      </w:pPr>
      <w:r>
        <w:t>That said, having too many classes could lead to fragmentation. It’s important that the set of classes remains limited (as the proposal says) so that the ecosystem (chipmakers, network vendors, operators) can support them efficiently. Each class should be sufficiently broad to cover multiple use cases (e.g. one IoT class for most low-power use cases, one mid-tier class, one high-tier). Energy efficiency trade-offs will then be managed within each class’s envelope.</w:t>
      </w:r>
    </w:p>
    <w:p w14:paraId="417D93F3">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Observation 8：</w:t>
      </w:r>
      <w:r>
        <w:rPr>
          <w:rFonts w:ascii="Times New Roman Bold Italic" w:hAnsi="Times New Roman Bold Italic" w:cs="Times New Roman Bold Italic"/>
          <w:b/>
          <w:bCs/>
          <w:i/>
          <w:iCs/>
          <w:lang w:eastAsia="zh-CN"/>
        </w:rPr>
        <w:t>Limiting 6G UE classes from the outset streamlines design and enables class-specific energy-saving features, ensuring balanced efficiency trade-offs across IoT, mid-tier, and eMBB devices.</w:t>
      </w:r>
    </w:p>
    <w:p w14:paraId="44DCE382">
      <w:pPr>
        <w:rPr>
          <w:rFonts w:ascii="Times New Roman Bold Italic" w:hAnsi="Times New Roman Bold Italic" w:cs="Times New Roman Bold Italic"/>
          <w:b/>
          <w:bCs/>
          <w:i/>
          <w:iCs/>
          <w:lang w:eastAsia="zh-CN"/>
        </w:rPr>
      </w:pPr>
    </w:p>
    <w:p w14:paraId="06C2E2E4">
      <w:pPr>
        <w:pStyle w:val="5"/>
      </w:pPr>
      <w:r>
        <w:t xml:space="preserve">Another perspective is the interaction between classes and multi-capability: If 6G classes are very distinct, a device that tries to support multiple classes (e.g. a high-performance phone that also wants multi-year standby for IoT sensors) might effectively need to include subsystems for each class, </w:t>
      </w:r>
      <w:r>
        <w:rPr>
          <w:rFonts w:ascii="Times New Roman Bold" w:hAnsi="Times New Roman Bold" w:cs="Times New Roman Bold"/>
          <w:b/>
          <w:bCs/>
        </w:rPr>
        <w:t>which is same as subsection 2.2 we have discussed</w:t>
      </w:r>
      <w:r>
        <w:t>. This could increase complexity. Alternatively, 6G might allow fluid scaling – e.g. a high-end device could operate in a “lean mode” behaving like an IoT class device when needed. This ties into multi-capability discussions in Section 2.2. In our view, 6G should enable scalable terminal operation: a single device may temporarily act as a lower class (to save energy), which means the classes are not hard silos but functional tiers.</w:t>
      </w:r>
    </w:p>
    <w:p w14:paraId="40C330AA">
      <w:pPr>
        <w:pStyle w:val="5"/>
      </w:pPr>
      <w:r>
        <w:t>In conclusion, clear terminal classifications with minimum capability requirements (like bandwidth and MIMO assumptions) will help ensure day-1 6G devices meet their energy and performance targets. Combined with multi-capability optimizations, this approach can deliver flexibility and efficiency. We expect further discussion in 3GPP on how to refine these classes (e.g. whether a new “enhanced RedCap” category is needed between massive IoT and eMBB) and how networks will handle the different device types in an energy-optimized way.</w:t>
      </w:r>
    </w:p>
    <w:p w14:paraId="244BAD3A">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Observation 9：6G multi capability devices may increase complexity by supporting distinct classes but th</w:t>
      </w:r>
      <w:r>
        <w:rPr>
          <w:rFonts w:ascii="Times New Roman Bold Italic" w:hAnsi="Times New Roman Bold Italic" w:cs="Times New Roman Bold Italic"/>
          <w:b/>
          <w:bCs/>
          <w:i/>
          <w:iCs/>
          <w:lang w:eastAsia="zh-CN"/>
        </w:rPr>
        <w:t>e feasibility</w:t>
      </w:r>
      <w:r>
        <w:rPr>
          <w:rFonts w:hint="eastAsia" w:ascii="Times New Roman Bold Italic" w:hAnsi="Times New Roman Bold Italic" w:cs="Times New Roman Bold Italic"/>
          <w:b/>
          <w:bCs/>
          <w:i/>
          <w:iCs/>
          <w:lang w:eastAsia="zh-CN"/>
        </w:rPr>
        <w:t xml:space="preserve"> allows UEs with high capability switching into IoT modes improving overall energy efficiency</w:t>
      </w:r>
      <w:r>
        <w:rPr>
          <w:rFonts w:ascii="Times New Roman Bold Italic" w:hAnsi="Times New Roman Bold Italic" w:cs="Times New Roman Bold Italic"/>
          <w:b/>
          <w:bCs/>
          <w:i/>
          <w:iCs/>
          <w:lang w:eastAsia="zh-CN"/>
        </w:rPr>
        <w:t>.</w:t>
      </w:r>
    </w:p>
    <w:p w14:paraId="3968B12F">
      <w:pPr>
        <w:pStyle w:val="5"/>
        <w:rPr>
          <w:lang w:eastAsia="zh-CN"/>
        </w:rPr>
      </w:pPr>
    </w:p>
    <w:p w14:paraId="675BDAB2">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Proposal 1: Study adaptive bandwidth for IoT and mid-tier UEs, ensuring minimal access channels sustain energy efficiency across diverse deployment environments.</w:t>
      </w:r>
    </w:p>
    <w:p w14:paraId="0D6D7A44">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Proposal 2: Explore scalable multi-capability architectures enabling </w:t>
      </w:r>
      <w:r>
        <w:rPr>
          <w:rFonts w:ascii="Times New Roman Bold Italic" w:hAnsi="Times New Roman Bold Italic" w:cs="Times New Roman Bold Italic"/>
          <w:b/>
          <w:bCs/>
          <w:i/>
          <w:iCs/>
          <w:lang w:eastAsia="zh-CN"/>
        </w:rPr>
        <w:t xml:space="preserve">6G </w:t>
      </w:r>
      <w:r>
        <w:rPr>
          <w:rFonts w:hint="eastAsia" w:ascii="Times New Roman Bold Italic" w:hAnsi="Times New Roman Bold Italic" w:cs="Times New Roman Bold Italic"/>
          <w:b/>
          <w:bCs/>
          <w:i/>
          <w:iCs/>
          <w:lang w:eastAsia="zh-CN"/>
        </w:rPr>
        <w:t>UEs with high capability to dynamically switch operating modes, balancing complexity with optimized energy efficiency across different service types.</w:t>
      </w:r>
    </w:p>
    <w:p w14:paraId="0B878857">
      <w:pPr>
        <w:pBdr>
          <w:bottom w:val="single" w:color="auto" w:sz="4" w:space="1"/>
        </w:pBdr>
        <w:spacing w:after="0"/>
        <w:jc w:val="left"/>
        <w:rPr>
          <w:b/>
          <w:kern w:val="2"/>
          <w:sz w:val="16"/>
          <w:szCs w:val="16"/>
          <w:lang w:eastAsia="zh-CN"/>
        </w:rPr>
      </w:pPr>
    </w:p>
    <w:p w14:paraId="03C8461E">
      <w:pPr>
        <w:pStyle w:val="2"/>
        <w:rPr>
          <w:lang w:eastAsia="zh-CN"/>
        </w:rPr>
      </w:pPr>
      <w:r>
        <w:rPr>
          <w:szCs w:val="24"/>
          <w:lang w:eastAsia="zh-CN"/>
        </w:rPr>
        <w:t xml:space="preserve"> </w:t>
      </w:r>
      <w:r>
        <w:rPr>
          <w:rFonts w:hint="eastAsia"/>
          <w:szCs w:val="24"/>
          <w:lang w:eastAsia="zh-CN"/>
        </w:rPr>
        <w:t>R</w:t>
      </w:r>
      <w:r>
        <w:rPr>
          <w:szCs w:val="24"/>
        </w:rPr>
        <w:t xml:space="preserve">eference configurations and power model(s) for 6G </w:t>
      </w:r>
      <w:r>
        <w:rPr>
          <w:rFonts w:hint="eastAsia"/>
          <w:szCs w:val="24"/>
          <w:lang w:eastAsia="zh-CN"/>
        </w:rPr>
        <w:t>BS or UE</w:t>
      </w:r>
    </w:p>
    <w:p w14:paraId="4F812B2D">
      <w:pPr>
        <w:pStyle w:val="3"/>
        <w:rPr>
          <w:lang w:eastAsia="zh-CN"/>
        </w:rPr>
      </w:pPr>
      <w:r>
        <w:rPr>
          <w:lang w:eastAsia="zh-CN"/>
        </w:rPr>
        <w:t xml:space="preserve"> </w:t>
      </w:r>
      <w:r>
        <w:rPr>
          <w:szCs w:val="24"/>
        </w:rPr>
        <w:t xml:space="preserve">6G </w:t>
      </w:r>
      <w:r>
        <w:rPr>
          <w:rFonts w:hint="eastAsia"/>
          <w:szCs w:val="24"/>
          <w:lang w:eastAsia="zh-CN"/>
        </w:rPr>
        <w:t>BS considerations</w:t>
      </w:r>
    </w:p>
    <w:p w14:paraId="0640C572">
      <w:pPr>
        <w:pStyle w:val="4"/>
        <w:tabs>
          <w:tab w:val="clear" w:pos="432"/>
        </w:tabs>
      </w:pPr>
      <w:bookmarkStart w:id="2" w:name="X0f1a27fda61c023b017349318039dd2e9473d41"/>
      <w:r>
        <w:t xml:space="preserve"> Legacy 5G NR </w:t>
      </w:r>
      <w:r>
        <w:rPr>
          <w:rFonts w:hint="eastAsia"/>
          <w:lang w:eastAsia="zh-CN"/>
        </w:rPr>
        <w:t>BS</w:t>
      </w:r>
      <w:r>
        <w:t xml:space="preserve"> </w:t>
      </w:r>
      <w:r>
        <w:rPr>
          <w:rFonts w:hint="eastAsia"/>
          <w:lang w:eastAsia="zh-CN"/>
        </w:rPr>
        <w:t>p</w:t>
      </w:r>
      <w:r>
        <w:t>ower model[4]</w:t>
      </w:r>
    </w:p>
    <w:p w14:paraId="4D710C79">
      <w:pPr>
        <w:pStyle w:val="83"/>
      </w:pPr>
      <w:r>
        <w:t>In 5G-Advanced Release 18, 3GPP introduced a standardized BS power consumption model (i.e., TR 38.864) to evaluate energy-saving techniques in a fair, realistic manner. This model was derived from consolidated industry input and defines power consumption for a set of reference BS configurations and power states[5]. Table 4summarizes the three NR reference configurations defined in TR 38.864 (BS Category 2) for evaluation of network energy savings. These span typical macro-cell BS setups in FR1 and FR2, differing in bandwidth, transmit antenna count, and transmit power:</w:t>
      </w:r>
    </w:p>
    <w:p w14:paraId="49BE88AF">
      <w:pPr>
        <w:pStyle w:val="5"/>
      </w:pPr>
      <w:r>
        <w:rPr>
          <w:i/>
          <w:iCs/>
        </w:rPr>
        <w:t>Table 4: 3GPP 5G NR BS Reference Configurations (Category 2).</w:t>
      </w:r>
      <w:r>
        <w:t xml:space="preserve"> Each set characterizes a BS type by frequency band, available bandwidth, duplex mode, antenna count, and transmit power. (All assume a single cell/point coverage.)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1234"/>
        <w:gridCol w:w="1234"/>
        <w:gridCol w:w="1234"/>
        <w:gridCol w:w="1234"/>
        <w:gridCol w:w="1234"/>
        <w:gridCol w:w="1234"/>
      </w:tblGrid>
      <w:tr w14:paraId="2FF23F84">
        <w:trPr>
          <w:jc w:val="center"/>
        </w:trPr>
        <w:tc>
          <w:tcPr>
            <w:tcW w:w="1234" w:type="dxa"/>
            <w:tcBorders>
              <w:tl2br w:val="nil"/>
              <w:tr2bl w:val="nil"/>
            </w:tcBorders>
          </w:tcPr>
          <w:p w14:paraId="172DCF16">
            <w:pPr>
              <w:rPr>
                <w:sz w:val="18"/>
                <w:szCs w:val="18"/>
              </w:rPr>
            </w:pPr>
            <w:r>
              <w:rPr>
                <w:sz w:val="18"/>
                <w:szCs w:val="18"/>
              </w:rPr>
              <w:t>Reference Set</w:t>
            </w:r>
          </w:p>
        </w:tc>
        <w:tc>
          <w:tcPr>
            <w:tcW w:w="1234" w:type="dxa"/>
            <w:tcBorders>
              <w:tl2br w:val="nil"/>
              <w:tr2bl w:val="nil"/>
            </w:tcBorders>
          </w:tcPr>
          <w:p w14:paraId="6121211A">
            <w:pPr>
              <w:rPr>
                <w:sz w:val="18"/>
                <w:szCs w:val="18"/>
              </w:rPr>
            </w:pPr>
            <w:r>
              <w:rPr>
                <w:sz w:val="18"/>
                <w:szCs w:val="18"/>
              </w:rPr>
              <w:t>Frequency Range</w:t>
            </w:r>
          </w:p>
        </w:tc>
        <w:tc>
          <w:tcPr>
            <w:tcW w:w="1234" w:type="dxa"/>
            <w:tcBorders>
              <w:tl2br w:val="nil"/>
              <w:tr2bl w:val="nil"/>
            </w:tcBorders>
          </w:tcPr>
          <w:p w14:paraId="5C638F79">
            <w:pPr>
              <w:rPr>
                <w:sz w:val="18"/>
                <w:szCs w:val="18"/>
              </w:rPr>
            </w:pPr>
            <w:r>
              <w:rPr>
                <w:sz w:val="18"/>
                <w:szCs w:val="18"/>
              </w:rPr>
              <w:t>Duplex</w:t>
            </w:r>
          </w:p>
        </w:tc>
        <w:tc>
          <w:tcPr>
            <w:tcW w:w="1234" w:type="dxa"/>
            <w:tcBorders>
              <w:tl2br w:val="nil"/>
              <w:tr2bl w:val="nil"/>
            </w:tcBorders>
          </w:tcPr>
          <w:p w14:paraId="021448C5">
            <w:pPr>
              <w:rPr>
                <w:sz w:val="18"/>
                <w:szCs w:val="18"/>
              </w:rPr>
            </w:pPr>
            <w:r>
              <w:rPr>
                <w:sz w:val="18"/>
                <w:szCs w:val="18"/>
              </w:rPr>
              <w:t>System BW</w:t>
            </w:r>
          </w:p>
        </w:tc>
        <w:tc>
          <w:tcPr>
            <w:tcW w:w="1234" w:type="dxa"/>
            <w:tcBorders>
              <w:tl2br w:val="nil"/>
              <w:tr2bl w:val="nil"/>
            </w:tcBorders>
          </w:tcPr>
          <w:p w14:paraId="42FC490E">
            <w:pPr>
              <w:rPr>
                <w:sz w:val="18"/>
                <w:szCs w:val="18"/>
              </w:rPr>
            </w:pPr>
            <w:r>
              <w:rPr>
                <w:sz w:val="18"/>
                <w:szCs w:val="18"/>
              </w:rPr>
              <w:t>Subcarrier Spacing</w:t>
            </w:r>
          </w:p>
        </w:tc>
        <w:tc>
          <w:tcPr>
            <w:tcW w:w="1234" w:type="dxa"/>
            <w:tcBorders>
              <w:tl2br w:val="nil"/>
              <w:tr2bl w:val="nil"/>
            </w:tcBorders>
          </w:tcPr>
          <w:p w14:paraId="0C2BAE86">
            <w:pPr>
              <w:rPr>
                <w:sz w:val="18"/>
                <w:szCs w:val="18"/>
              </w:rPr>
            </w:pPr>
            <w:r>
              <w:rPr>
                <w:sz w:val="18"/>
                <w:szCs w:val="18"/>
              </w:rPr>
              <w:t>DL Transmit Antennas</w:t>
            </w:r>
          </w:p>
        </w:tc>
        <w:tc>
          <w:tcPr>
            <w:tcW w:w="1234" w:type="dxa"/>
            <w:tcBorders>
              <w:tl2br w:val="nil"/>
              <w:tr2bl w:val="nil"/>
            </w:tcBorders>
          </w:tcPr>
          <w:p w14:paraId="582863E2">
            <w:pPr>
              <w:rPr>
                <w:sz w:val="18"/>
                <w:szCs w:val="18"/>
              </w:rPr>
            </w:pPr>
            <w:r>
              <w:rPr>
                <w:sz w:val="18"/>
                <w:szCs w:val="18"/>
              </w:rPr>
              <w:t>Total DL Tx Power</w:t>
            </w:r>
          </w:p>
        </w:tc>
      </w:tr>
      <w:tr w14:paraId="251578FA">
        <w:trPr>
          <w:jc w:val="center"/>
        </w:trPr>
        <w:tc>
          <w:tcPr>
            <w:tcW w:w="1234" w:type="dxa"/>
            <w:tcBorders>
              <w:tl2br w:val="nil"/>
              <w:tr2bl w:val="nil"/>
            </w:tcBorders>
          </w:tcPr>
          <w:p w14:paraId="1D5A3FF6">
            <w:pPr>
              <w:rPr>
                <w:sz w:val="18"/>
                <w:szCs w:val="18"/>
              </w:rPr>
            </w:pPr>
            <w:r>
              <w:rPr>
                <w:sz w:val="18"/>
                <w:szCs w:val="18"/>
              </w:rPr>
              <w:t>Set 1</w:t>
            </w:r>
          </w:p>
        </w:tc>
        <w:tc>
          <w:tcPr>
            <w:tcW w:w="1234" w:type="dxa"/>
            <w:tcBorders>
              <w:tl2br w:val="nil"/>
              <w:tr2bl w:val="nil"/>
            </w:tcBorders>
          </w:tcPr>
          <w:p w14:paraId="4B80C686">
            <w:pPr>
              <w:rPr>
                <w:sz w:val="18"/>
                <w:szCs w:val="18"/>
              </w:rPr>
            </w:pPr>
            <w:r>
              <w:rPr>
                <w:sz w:val="18"/>
                <w:szCs w:val="18"/>
              </w:rPr>
              <w:t>FR1 (Sub-6 GHz)</w:t>
            </w:r>
          </w:p>
        </w:tc>
        <w:tc>
          <w:tcPr>
            <w:tcW w:w="1234" w:type="dxa"/>
            <w:tcBorders>
              <w:tl2br w:val="nil"/>
              <w:tr2bl w:val="nil"/>
            </w:tcBorders>
          </w:tcPr>
          <w:p w14:paraId="7152DAC5">
            <w:pPr>
              <w:rPr>
                <w:sz w:val="18"/>
                <w:szCs w:val="18"/>
              </w:rPr>
            </w:pPr>
            <w:r>
              <w:rPr>
                <w:sz w:val="18"/>
                <w:szCs w:val="18"/>
              </w:rPr>
              <w:t>TDD</w:t>
            </w:r>
          </w:p>
        </w:tc>
        <w:tc>
          <w:tcPr>
            <w:tcW w:w="1234" w:type="dxa"/>
            <w:tcBorders>
              <w:tl2br w:val="nil"/>
              <w:tr2bl w:val="nil"/>
            </w:tcBorders>
          </w:tcPr>
          <w:p w14:paraId="749D3FFB">
            <w:pPr>
              <w:rPr>
                <w:sz w:val="18"/>
                <w:szCs w:val="18"/>
              </w:rPr>
            </w:pPr>
            <w:r>
              <w:rPr>
                <w:sz w:val="18"/>
                <w:szCs w:val="18"/>
              </w:rPr>
              <w:t>100 MHz</w:t>
            </w:r>
          </w:p>
        </w:tc>
        <w:tc>
          <w:tcPr>
            <w:tcW w:w="1234" w:type="dxa"/>
            <w:tcBorders>
              <w:tl2br w:val="nil"/>
              <w:tr2bl w:val="nil"/>
            </w:tcBorders>
          </w:tcPr>
          <w:p w14:paraId="646478C6">
            <w:pPr>
              <w:rPr>
                <w:sz w:val="18"/>
                <w:szCs w:val="18"/>
              </w:rPr>
            </w:pPr>
            <w:r>
              <w:rPr>
                <w:sz w:val="18"/>
                <w:szCs w:val="18"/>
              </w:rPr>
              <w:t>30 kHz</w:t>
            </w:r>
          </w:p>
        </w:tc>
        <w:tc>
          <w:tcPr>
            <w:tcW w:w="1234" w:type="dxa"/>
            <w:tcBorders>
              <w:tl2br w:val="nil"/>
              <w:tr2bl w:val="nil"/>
            </w:tcBorders>
          </w:tcPr>
          <w:p w14:paraId="52E01DBE">
            <w:pPr>
              <w:rPr>
                <w:sz w:val="18"/>
                <w:szCs w:val="18"/>
              </w:rPr>
            </w:pPr>
            <w:r>
              <w:rPr>
                <w:sz w:val="18"/>
                <w:szCs w:val="18"/>
              </w:rPr>
              <w:t>64 (Massive MIMO)</w:t>
            </w:r>
          </w:p>
        </w:tc>
        <w:tc>
          <w:tcPr>
            <w:tcW w:w="1234" w:type="dxa"/>
            <w:tcBorders>
              <w:tl2br w:val="nil"/>
              <w:tr2bl w:val="nil"/>
            </w:tcBorders>
          </w:tcPr>
          <w:p w14:paraId="70A97688">
            <w:pPr>
              <w:rPr>
                <w:sz w:val="18"/>
                <w:szCs w:val="18"/>
              </w:rPr>
            </w:pPr>
            <w:r>
              <w:rPr>
                <w:sz w:val="18"/>
                <w:szCs w:val="18"/>
              </w:rPr>
              <w:t>55 dBm</w:t>
            </w:r>
          </w:p>
        </w:tc>
      </w:tr>
      <w:tr w14:paraId="2568EEEE">
        <w:trPr>
          <w:jc w:val="center"/>
        </w:trPr>
        <w:tc>
          <w:tcPr>
            <w:tcW w:w="1234" w:type="dxa"/>
            <w:tcBorders>
              <w:tl2br w:val="nil"/>
              <w:tr2bl w:val="nil"/>
            </w:tcBorders>
          </w:tcPr>
          <w:p w14:paraId="5A3986CB">
            <w:pPr>
              <w:rPr>
                <w:sz w:val="18"/>
                <w:szCs w:val="18"/>
              </w:rPr>
            </w:pPr>
            <w:r>
              <w:rPr>
                <w:sz w:val="18"/>
                <w:szCs w:val="18"/>
              </w:rPr>
              <w:t>Set 2</w:t>
            </w:r>
          </w:p>
        </w:tc>
        <w:tc>
          <w:tcPr>
            <w:tcW w:w="1234" w:type="dxa"/>
            <w:tcBorders>
              <w:tl2br w:val="nil"/>
              <w:tr2bl w:val="nil"/>
            </w:tcBorders>
          </w:tcPr>
          <w:p w14:paraId="1576EC29">
            <w:pPr>
              <w:rPr>
                <w:sz w:val="18"/>
                <w:szCs w:val="18"/>
              </w:rPr>
            </w:pPr>
            <w:r>
              <w:rPr>
                <w:sz w:val="18"/>
                <w:szCs w:val="18"/>
              </w:rPr>
              <w:t>FR1 (Sub-6 GHz)</w:t>
            </w:r>
          </w:p>
        </w:tc>
        <w:tc>
          <w:tcPr>
            <w:tcW w:w="1234" w:type="dxa"/>
            <w:tcBorders>
              <w:tl2br w:val="nil"/>
              <w:tr2bl w:val="nil"/>
            </w:tcBorders>
          </w:tcPr>
          <w:p w14:paraId="603B0C19">
            <w:pPr>
              <w:rPr>
                <w:sz w:val="18"/>
                <w:szCs w:val="18"/>
              </w:rPr>
            </w:pPr>
            <w:r>
              <w:rPr>
                <w:sz w:val="18"/>
                <w:szCs w:val="18"/>
              </w:rPr>
              <w:t>TDD</w:t>
            </w:r>
          </w:p>
        </w:tc>
        <w:tc>
          <w:tcPr>
            <w:tcW w:w="1234" w:type="dxa"/>
            <w:tcBorders>
              <w:tl2br w:val="nil"/>
              <w:tr2bl w:val="nil"/>
            </w:tcBorders>
          </w:tcPr>
          <w:p w14:paraId="5BDB106D">
            <w:pPr>
              <w:rPr>
                <w:sz w:val="18"/>
                <w:szCs w:val="18"/>
              </w:rPr>
            </w:pPr>
            <w:r>
              <w:rPr>
                <w:sz w:val="18"/>
                <w:szCs w:val="18"/>
              </w:rPr>
              <w:t>20 MHz</w:t>
            </w:r>
          </w:p>
        </w:tc>
        <w:tc>
          <w:tcPr>
            <w:tcW w:w="1234" w:type="dxa"/>
            <w:tcBorders>
              <w:tl2br w:val="nil"/>
              <w:tr2bl w:val="nil"/>
            </w:tcBorders>
          </w:tcPr>
          <w:p w14:paraId="143DE0D9">
            <w:pPr>
              <w:rPr>
                <w:sz w:val="18"/>
                <w:szCs w:val="18"/>
              </w:rPr>
            </w:pPr>
            <w:r>
              <w:rPr>
                <w:sz w:val="18"/>
                <w:szCs w:val="18"/>
              </w:rPr>
              <w:t>15 kHz</w:t>
            </w:r>
          </w:p>
        </w:tc>
        <w:tc>
          <w:tcPr>
            <w:tcW w:w="1234" w:type="dxa"/>
            <w:tcBorders>
              <w:tl2br w:val="nil"/>
              <w:tr2bl w:val="nil"/>
            </w:tcBorders>
          </w:tcPr>
          <w:p w14:paraId="20ED81D4">
            <w:pPr>
              <w:rPr>
                <w:sz w:val="18"/>
                <w:szCs w:val="18"/>
              </w:rPr>
            </w:pPr>
            <w:r>
              <w:rPr>
                <w:sz w:val="18"/>
                <w:szCs w:val="18"/>
              </w:rPr>
              <w:t>32</w:t>
            </w:r>
          </w:p>
        </w:tc>
        <w:tc>
          <w:tcPr>
            <w:tcW w:w="1234" w:type="dxa"/>
            <w:tcBorders>
              <w:tl2br w:val="nil"/>
              <w:tr2bl w:val="nil"/>
            </w:tcBorders>
          </w:tcPr>
          <w:p w14:paraId="28000074">
            <w:pPr>
              <w:rPr>
                <w:sz w:val="18"/>
                <w:szCs w:val="18"/>
              </w:rPr>
            </w:pPr>
            <w:r>
              <w:rPr>
                <w:sz w:val="18"/>
                <w:szCs w:val="18"/>
              </w:rPr>
              <w:t>49 dBm</w:t>
            </w:r>
          </w:p>
        </w:tc>
      </w:tr>
      <w:tr w14:paraId="3B46437D">
        <w:trPr>
          <w:jc w:val="center"/>
        </w:trPr>
        <w:tc>
          <w:tcPr>
            <w:tcW w:w="1234" w:type="dxa"/>
            <w:tcBorders>
              <w:tl2br w:val="nil"/>
              <w:tr2bl w:val="nil"/>
            </w:tcBorders>
          </w:tcPr>
          <w:p w14:paraId="43798A86">
            <w:pPr>
              <w:rPr>
                <w:sz w:val="18"/>
                <w:szCs w:val="18"/>
              </w:rPr>
            </w:pPr>
            <w:r>
              <w:rPr>
                <w:sz w:val="18"/>
                <w:szCs w:val="18"/>
              </w:rPr>
              <w:t>Set 3</w:t>
            </w:r>
          </w:p>
        </w:tc>
        <w:tc>
          <w:tcPr>
            <w:tcW w:w="1234" w:type="dxa"/>
            <w:tcBorders>
              <w:tl2br w:val="nil"/>
              <w:tr2bl w:val="nil"/>
            </w:tcBorders>
          </w:tcPr>
          <w:p w14:paraId="613BE904">
            <w:pPr>
              <w:rPr>
                <w:sz w:val="18"/>
                <w:szCs w:val="18"/>
              </w:rPr>
            </w:pPr>
            <w:r>
              <w:rPr>
                <w:sz w:val="18"/>
                <w:szCs w:val="18"/>
              </w:rPr>
              <w:t>FR2 (mmWave)</w:t>
            </w:r>
          </w:p>
        </w:tc>
        <w:tc>
          <w:tcPr>
            <w:tcW w:w="1234" w:type="dxa"/>
            <w:tcBorders>
              <w:tl2br w:val="nil"/>
              <w:tr2bl w:val="nil"/>
            </w:tcBorders>
          </w:tcPr>
          <w:p w14:paraId="363BE82A">
            <w:pPr>
              <w:rPr>
                <w:sz w:val="18"/>
                <w:szCs w:val="18"/>
              </w:rPr>
            </w:pPr>
            <w:r>
              <w:rPr>
                <w:sz w:val="18"/>
                <w:szCs w:val="18"/>
              </w:rPr>
              <w:t>TDD</w:t>
            </w:r>
          </w:p>
        </w:tc>
        <w:tc>
          <w:tcPr>
            <w:tcW w:w="1234" w:type="dxa"/>
            <w:tcBorders>
              <w:tl2br w:val="nil"/>
              <w:tr2bl w:val="nil"/>
            </w:tcBorders>
          </w:tcPr>
          <w:p w14:paraId="5CBDEFEF">
            <w:pPr>
              <w:rPr>
                <w:sz w:val="18"/>
                <w:szCs w:val="18"/>
              </w:rPr>
            </w:pPr>
            <w:r>
              <w:rPr>
                <w:sz w:val="18"/>
                <w:szCs w:val="18"/>
              </w:rPr>
              <w:t>100 MHz</w:t>
            </w:r>
          </w:p>
        </w:tc>
        <w:tc>
          <w:tcPr>
            <w:tcW w:w="1234" w:type="dxa"/>
            <w:tcBorders>
              <w:tl2br w:val="nil"/>
              <w:tr2bl w:val="nil"/>
            </w:tcBorders>
          </w:tcPr>
          <w:p w14:paraId="35EE3DC2">
            <w:pPr>
              <w:rPr>
                <w:sz w:val="18"/>
                <w:szCs w:val="18"/>
              </w:rPr>
            </w:pPr>
            <w:r>
              <w:rPr>
                <w:sz w:val="18"/>
                <w:szCs w:val="18"/>
              </w:rPr>
              <w:t>120 kHz</w:t>
            </w:r>
          </w:p>
        </w:tc>
        <w:tc>
          <w:tcPr>
            <w:tcW w:w="1234" w:type="dxa"/>
            <w:tcBorders>
              <w:tl2br w:val="nil"/>
              <w:tr2bl w:val="nil"/>
            </w:tcBorders>
          </w:tcPr>
          <w:p w14:paraId="7AD2E1D7">
            <w:pPr>
              <w:rPr>
                <w:sz w:val="18"/>
                <w:szCs w:val="18"/>
              </w:rPr>
            </w:pPr>
            <w:r>
              <w:rPr>
                <w:sz w:val="18"/>
                <w:szCs w:val="18"/>
              </w:rPr>
              <w:t>2</w:t>
            </w:r>
          </w:p>
        </w:tc>
        <w:tc>
          <w:tcPr>
            <w:tcW w:w="1234" w:type="dxa"/>
            <w:tcBorders>
              <w:tl2br w:val="nil"/>
              <w:tr2bl w:val="nil"/>
            </w:tcBorders>
          </w:tcPr>
          <w:p w14:paraId="0E76FEBD">
            <w:pPr>
              <w:rPr>
                <w:sz w:val="18"/>
                <w:szCs w:val="18"/>
              </w:rPr>
            </w:pPr>
            <w:r>
              <w:rPr>
                <w:sz w:val="18"/>
                <w:szCs w:val="18"/>
              </w:rPr>
              <w:t>33 dBm</w:t>
            </w:r>
          </w:p>
        </w:tc>
      </w:tr>
    </w:tbl>
    <w:p w14:paraId="1785DFF9">
      <w:pPr>
        <w:pStyle w:val="5"/>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10</w:t>
      </w:r>
      <w:r>
        <w:rPr>
          <w:rFonts w:ascii="Times New Roman Bold Italic" w:hAnsi="Times New Roman Bold Italic" w:cs="Times New Roman Bold Italic"/>
          <w:b/>
          <w:bCs/>
          <w:i/>
          <w:iCs/>
          <w:lang w:eastAsia="zh-CN"/>
        </w:rPr>
        <w:t>: No FR3 is considered for BS power consumption in TR 38.864.</w:t>
      </w:r>
    </w:p>
    <w:p w14:paraId="179811E0">
      <w:pPr>
        <w:pStyle w:val="5"/>
      </w:pPr>
      <w:r>
        <w:t>Under this model, BS power consumption is defined for several power states with relative power levels. Notably, active states are split into Active DL (downlink transmission active) and Active UL (uplink reception active) to reflect that downlink transmission (with power amplifiers driving high output power) consumes significantly more power than uplink reception. Additionally, multiple sleep states are defined (micro-sleep, light sleep, deep sleep), in which the BS transceiver chain is partially or fully turned off to save energy. Deep sleep is the most energy-efficient state (baseline), while micro-sleep is a lighter doze achieved rapidly between transmissions (but with higher power draw than deep sleep). For Category 2 hardware (today’s realistic technology), the model assigns, for example, relative power 1× to deep sleep (baseline), ~2× to light sleep, ~5× to micro-sleep, and higher factors for active states (e.g. Active UL ≈4–6×, Active DL ≈17–32× the deep sleep power, depending on configuration). These ratios illustrate that even in minimal activity, a BS draws non-zero power, and that downlink transmission is the most power-hungry operation (due to PA and RF chains), whereas deep sleep drastically reduces consumption (at the cost of longer wake-up transition). Transition times are associated with each sleep state (e.g. deep sleep may require on the order of seconds to wake, light sleep hundreds of milliseconds).</w:t>
      </w:r>
    </w:p>
    <w:p w14:paraId="694374DF">
      <w:pPr>
        <w:pStyle w:val="5"/>
        <w:rPr>
          <w:lang w:eastAsia="zh-CN"/>
        </w:rPr>
      </w:pPr>
      <w:r>
        <w:t xml:space="preserve">Crucially, the 5G model introduces scaling laws to account for partial resource usage in time, frequency, spatial domain, and transmit power domain. Specifically, within an active period (e.g. a 1 ms TDD slot in NR), the active power can scale down proportionally with the fraction of OFDM symbols occupied, the fraction of system bandwidth used, the fraction of active transmit antennas (RF chains) enabled, and the relative transmit power used. This allows modeling how adaptive resource management (e.g. shutting off some antennas or symbols during low traffic) reduces consumption. In formula form, we can express the instantaneous downlink power draw of a BS in active state as a product of these utilization factors. For example, let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BS,DL(full)</m:t>
            </m:r>
            <m:ctrlPr>
              <w:rPr>
                <w:rFonts w:ascii="Cambria Math" w:hAnsi="Cambria Math"/>
              </w:rPr>
            </m:ctrlPr>
          </m:sub>
        </m:sSub>
      </m:oMath>
      <w:r>
        <w:t xml:space="preserve"> be the power consumption of the BS in active downlink state when fully loaded (all symbols, full bandwidth, all antennas at maximum power), and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BS,deep</m:t>
            </m:r>
            <m:ctrlPr>
              <w:rPr>
                <w:rFonts w:ascii="Cambria Math" w:hAnsi="Cambria Math"/>
              </w:rPr>
            </m:ctrlPr>
          </m:sub>
        </m:sSub>
      </m:oMath>
      <w:r>
        <w:t xml:space="preserve"> be the baseline power in deep sleep. If in a given slot a fraction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t</m:t>
            </m:r>
            <m:ctrlPr>
              <w:rPr>
                <w:rFonts w:ascii="Cambria Math" w:hAnsi="Cambria Math"/>
              </w:rPr>
            </m:ctrlPr>
          </m:sub>
        </m:sSub>
      </m:oMath>
      <w:r>
        <w:t xml:space="preserve"> of the symbols are used, a fraction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f</m:t>
            </m:r>
            <m:ctrlPr>
              <w:rPr>
                <w:rFonts w:ascii="Cambria Math" w:hAnsi="Cambria Math"/>
              </w:rPr>
            </m:ctrlPr>
          </m:sub>
        </m:sSub>
      </m:oMath>
      <w:r>
        <w:t xml:space="preserve"> of the channel bandwidth is occupied,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a</m:t>
            </m:r>
            <m:ctrlPr>
              <w:rPr>
                <w:rFonts w:ascii="Cambria Math" w:hAnsi="Cambria Math"/>
              </w:rPr>
            </m:ctrlPr>
          </m:sub>
        </m:sSub>
      </m:oMath>
      <w:r>
        <w:t xml:space="preserve"> is the fraction of transmit antennas/RF chains active, and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m:t>
            </m:r>
            <m:ctrlPr>
              <w:rPr>
                <w:rFonts w:ascii="Cambria Math" w:hAnsi="Cambria Math"/>
              </w:rPr>
            </m:ctrlPr>
          </m:sub>
        </m:sSub>
      </m:oMath>
      <w:r>
        <w:t xml:space="preserve"> is the fraction of maximum transmit power being used, then an illustrative power model is:</w:t>
      </w:r>
      <w:r>
        <w:tab/>
      </w:r>
    </w:p>
    <w:p w14:paraId="1C875CF7">
      <w:pPr>
        <w:pStyle w:val="5"/>
      </w:pPr>
      <m:oMathPara>
        <m:oMathParaPr>
          <m:jc m:val="center"/>
        </m:oMathParaPr>
        <m:oMath>
          <m:sSubSup>
            <m:sSubSupPr>
              <m:ctrlPr>
                <w:rPr>
                  <w:rFonts w:ascii="Cambria Math" w:hAnsi="Cambria Math"/>
                </w:rPr>
              </m:ctrlPr>
            </m:sSubSupPr>
            <m:e>
              <m:r>
                <m:rPr/>
                <w:rPr>
                  <w:rFonts w:ascii="Cambria Math" w:hAnsi="Cambria Math"/>
                </w:rPr>
                <m:t>P</m:t>
              </m:r>
              <m:ctrlPr>
                <w:rPr>
                  <w:rFonts w:ascii="Cambria Math" w:hAnsi="Cambria Math"/>
                </w:rPr>
              </m:ctrlPr>
            </m:e>
            <m:sub>
              <m:r>
                <m:rPr>
                  <m:nor/>
                  <m:sty m:val="p"/>
                </m:rPr>
                <w:rPr>
                  <w:b w:val="0"/>
                  <w:i w:val="0"/>
                </w:rPr>
                <m:t>BS</m:t>
              </m:r>
              <m:ctrlPr>
                <w:rPr>
                  <w:rFonts w:ascii="Cambria Math" w:hAnsi="Cambria Math"/>
                </w:rPr>
              </m:ctrlPr>
            </m:sub>
            <m:sup>
              <m:r>
                <m:rPr/>
                <w:rPr>
                  <w:rFonts w:ascii="Cambria Math" w:hAnsi="Cambria Math"/>
                </w:rPr>
                <m:t>DL</m:t>
              </m:r>
              <m:ctrlPr>
                <w:rPr>
                  <w:rFonts w:ascii="Cambria Math" w:hAnsi="Cambria Math"/>
                </w:rPr>
              </m:ctrlPr>
            </m:sup>
          </m:sSubSup>
          <m:d>
            <m:dPr>
              <m:ctrlPr>
                <w:rPr>
                  <w:rFonts w:ascii="Cambria Math" w:hAnsi="Cambria Math"/>
                </w:rPr>
              </m:ctrlPr>
            </m:dPr>
            <m:e>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f</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a</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m:t>
                  </m:r>
                  <m:ctrlPr>
                    <w:rPr>
                      <w:rFonts w:ascii="Cambria Math" w:hAnsi="Cambria Math"/>
                    </w:rPr>
                  </m:ctrlPr>
                </m:sub>
              </m:sSub>
              <m:ctrlPr>
                <w:rPr>
                  <w:rFonts w:ascii="Cambria Math" w:hAnsi="Cambria Math"/>
                </w:rPr>
              </m:ctrlPr>
            </m:e>
          </m:d>
          <m:r>
            <m:rPr/>
            <w:rPr>
              <w:rFonts w:ascii="Cambria Math" w:hAnsi="Cambria Math"/>
            </w:rPr>
            <m:t> </m:t>
          </m:r>
          <m:r>
            <m:rPr>
              <m:sty m:val="p"/>
            </m:rPr>
            <w:rPr>
              <w:rFonts w:ascii="Cambria Math" w:hAnsi="Cambria Math"/>
            </w:rPr>
            <m:t>=</m:t>
          </m:r>
          <m:r>
            <m:rPr/>
            <w:rPr>
              <w:rFonts w:ascii="Cambria Math" w:hAnsi="Cambria Math"/>
            </w:rPr>
            <m:t> </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m:t>
              </m:r>
              <m:r>
                <m:rPr>
                  <m:sty m:val="p"/>
                </m:rPr>
                <w:rPr>
                  <w:rFonts w:ascii="Cambria Math" w:hAnsi="Cambria Math"/>
                </w:rPr>
                <m:t>,deep</m:t>
              </m:r>
              <m:ctrlPr>
                <w:rPr>
                  <w:rFonts w:ascii="Cambria Math" w:hAnsi="Cambria Math"/>
                </w:rPr>
              </m:ctrlPr>
            </m:sub>
          </m:sSub>
          <m:r>
            <m:rPr/>
            <w:rPr>
              <w:rFonts w:ascii="Cambria Math" w:hAnsi="Cambria Math"/>
            </w:rPr>
            <m:t> </m:t>
          </m:r>
          <m:r>
            <m:rPr>
              <m:sty m:val="p"/>
            </m:rPr>
            <w:rPr>
              <w:rFonts w:ascii="Cambria Math" w:hAnsi="Cambria Math"/>
            </w:rPr>
            <m:t>+</m:t>
          </m:r>
          <m:r>
            <m:rPr/>
            <w:rPr>
              <w:rFonts w:ascii="Cambria Math" w:hAnsi="Cambria Math"/>
            </w:rPr>
            <m:t> </m:t>
          </m:r>
          <m:d>
            <m:dPr>
              <m:ctrlPr>
                <w:rPr>
                  <w:rFonts w:ascii="Cambria Math" w:hAnsi="Cambria Math"/>
                </w:rPr>
              </m:ctrlPr>
            </m:dP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m:t>
                  </m:r>
                  <m:r>
                    <m:rPr>
                      <m:sty m:val="p"/>
                    </m:rPr>
                    <w:rPr>
                      <w:rFonts w:ascii="Cambria Math" w:hAnsi="Cambria Math"/>
                    </w:rPr>
                    <m:t>,DL(full)</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m:t>
                  </m:r>
                  <m:r>
                    <m:rPr>
                      <m:sty m:val="p"/>
                    </m:rPr>
                    <w:rPr>
                      <w:rFonts w:ascii="Cambria Math" w:hAnsi="Cambria Math"/>
                    </w:rPr>
                    <m:t>,deep</m:t>
                  </m:r>
                  <m:ctrlPr>
                    <w:rPr>
                      <w:rFonts w:ascii="Cambria Math" w:hAnsi="Cambria Math"/>
                    </w:rPr>
                  </m:ctrlPr>
                </m:sub>
              </m:sSub>
              <m:ctrlPr>
                <w:rPr>
                  <w:rFonts w:ascii="Cambria Math" w:hAnsi="Cambria Math"/>
                </w:rPr>
              </m:ctrlPr>
            </m:e>
          </m:d>
          <m:r>
            <m:rPr/>
            <w:rPr>
              <w:rFonts w:ascii="Cambria Math" w:hAnsi="Cambria Math"/>
            </w:rPr>
            <m:t> </m:t>
          </m:r>
          <m:d>
            <m:dPr>
              <m:ctrlPr>
                <w:rPr>
                  <w:rFonts w:ascii="Cambria Math" w:hAnsi="Cambria Math"/>
                </w:rPr>
              </m:ctrlPr>
            </m:dPr>
            <m:e>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t</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f</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a</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m:t>
                  </m:r>
                  <m:ctrlPr>
                    <w:rPr>
                      <w:rFonts w:ascii="Cambria Math" w:hAnsi="Cambria Math"/>
                    </w:rPr>
                  </m:ctrlPr>
                </m:sub>
              </m:sSub>
              <m:ctrlPr>
                <w:rPr>
                  <w:rFonts w:ascii="Cambria Math" w:hAnsi="Cambria Math"/>
                </w:rPr>
              </m:ctrlPr>
            </m:e>
          </m:d>
          <m:r>
            <m:rPr/>
            <w:rPr>
              <w:rFonts w:ascii="Cambria Math" w:hAnsi="Cambria Math"/>
            </w:rPr>
            <m:t> </m:t>
          </m:r>
          <m:r>
            <m:rPr>
              <m:sty m:val="p"/>
            </m:rPr>
            <w:rPr>
              <w:rFonts w:ascii="Cambria Math" w:hAnsi="Cambria Math"/>
            </w:rPr>
            <m:t>.</m:t>
          </m:r>
        </m:oMath>
      </m:oMathPara>
    </w:p>
    <w:p w14:paraId="44155867">
      <w:pPr>
        <w:pStyle w:val="83"/>
      </w:pPr>
      <w:r>
        <w:t xml:space="preserve">All parameters </w:t>
      </w:r>
      <m:oMath>
        <m:r>
          <m:rPr/>
          <w:rPr>
            <w:rFonts w:ascii="Cambria Math" w:hAnsi="Cambria Math"/>
          </w:rPr>
          <m:t>α</m:t>
        </m:r>
        <m:r>
          <m:rPr/>
          <w:rPr>
            <w:rFonts w:ascii="DejaVu Math TeX Gyre" w:hAnsi="DejaVu Math TeX Gyre"/>
          </w:rPr>
          <m:t>∈{</m:t>
        </m:r>
        <m:r>
          <m:rPr/>
          <w:rPr>
            <w:rFonts w:ascii="Cambria Math" w:hAnsi="Cambria Math"/>
          </w:rPr>
          <m:t>0,1</m:t>
        </m:r>
        <m:r>
          <m:rPr/>
          <w:rPr>
            <w:rFonts w:ascii="DejaVu Math TeX Gyre" w:hAnsi="DejaVu Math TeX Gyre"/>
          </w:rPr>
          <m:t>}</m:t>
        </m:r>
      </m:oMath>
      <w:r>
        <w:t xml:space="preserve"> and are defined relative to the reference configuration capacity (with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=1</m:t>
        </m:r>
      </m:oMath>
      <w:r>
        <w:t xml:space="preserve"> meaning all symbols in the slot carry data,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f</m:t>
            </m:r>
            <m:ctrlPr>
              <w:rPr>
                <w:rFonts w:ascii="Cambria Math" w:hAnsi="Cambria Math"/>
              </w:rPr>
            </m:ctrlPr>
          </m:sub>
        </m:sSub>
        <m:r>
          <m:rPr/>
          <w:rPr>
            <w:rFonts w:ascii="Cambria Math" w:hAnsi="Cambria Math"/>
          </w:rPr>
          <m:t>=1</m:t>
        </m:r>
      </m:oMath>
      <w:r>
        <w:t xml:space="preserve"> meaning the full 100 MHz/20 MHz/etc system bandwidth is utilized, and so on). A similar formula applies for the uplink active state power </w:t>
      </w:r>
      <m:oMath>
        <m:sSubSup>
          <m:sSubSupPr>
            <m:ctrlPr>
              <w:rPr>
                <w:rFonts w:ascii="Cambria Math" w:hAnsi="Cambria Math"/>
              </w:rPr>
            </m:ctrlPr>
          </m:sSubSupPr>
          <m:e>
            <m:r>
              <m:rPr/>
              <w:rPr>
                <w:rFonts w:ascii="Cambria Math" w:hAnsi="Cambria Math"/>
              </w:rPr>
              <m:t>P</m:t>
            </m:r>
            <m:ctrlPr>
              <w:rPr>
                <w:rFonts w:ascii="Cambria Math" w:hAnsi="Cambria Math"/>
              </w:rPr>
            </m:ctrlPr>
          </m:e>
          <m:sub>
            <m:r>
              <m:rPr>
                <m:nor/>
                <m:sty m:val="p"/>
              </m:rPr>
              <w:rPr>
                <w:b w:val="0"/>
                <w:i w:val="0"/>
              </w:rPr>
              <m:t>BS</m:t>
            </m:r>
            <m:ctrlPr>
              <w:rPr>
                <w:rFonts w:ascii="Cambria Math" w:hAnsi="Cambria Math"/>
              </w:rPr>
            </m:ctrlPr>
          </m:sub>
          <m:sup>
            <m:r>
              <m:rPr/>
              <w:rPr>
                <w:rFonts w:ascii="Cambria Math" w:hAnsi="Cambria Math"/>
              </w:rPr>
              <m:t>DL</m:t>
            </m:r>
            <m:ctrlPr>
              <w:rPr>
                <w:rFonts w:ascii="Cambria Math" w:hAnsi="Cambria Math"/>
              </w:rPr>
            </m:ctrlPr>
          </m:sup>
        </m:sSubSup>
      </m:oMath>
      <w:r>
        <w:t xml:space="preserve">, though typically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BS,UL(full)</m:t>
            </m:r>
            <m:ctrlPr>
              <w:rPr>
                <w:rFonts w:ascii="Cambria Math" w:hAnsi="Cambria Math"/>
              </w:rPr>
            </m:ctrlPr>
          </m:sub>
        </m:sSub>
      </m:oMath>
      <w:r>
        <w:t xml:space="preserve"> is much lower than the downlink case (since receiving consumes less power than high-power transmitting). In a TDD system, the BS toggles between these states on a slot basis; in any slot it may be in Active DL, Active UL, or a sleep state, depending on the frame schedule. The model thereby permits calculating average power over time by weighting these states by their occurrence fraction.</w:t>
      </w:r>
    </w:p>
    <w:p w14:paraId="5D874921">
      <w:pPr>
        <w:pStyle w:val="5"/>
      </w:pPr>
      <w:r>
        <w:t xml:space="preserve">In the BS power model formula above,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BS,DL(full)</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BS,deep</m:t>
            </m:r>
            <m:ctrlPr>
              <w:rPr>
                <w:rFonts w:ascii="Cambria Math" w:hAnsi="Cambria Math"/>
              </w:rPr>
            </m:ctrlPr>
          </m:sub>
        </m:sSub>
      </m:oMath>
      <w:r>
        <w:t xml:space="preserve"> are constants determined by hardware (for a given category and configuration). The factors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f</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a</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m:t>
            </m:r>
            <m:ctrlPr>
              <w:rPr>
                <w:rFonts w:ascii="Cambria Math" w:hAnsi="Cambria Math"/>
              </w:rPr>
            </m:ctrlPr>
          </m:sub>
        </m:sSub>
      </m:oMath>
      <w:r>
        <w:t xml:space="preserve"> are variables representing how much of the BS’s capability is utilized in a given interval. For instance,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a</m:t>
            </m:r>
            <m:ctrlPr>
              <w:rPr>
                <w:rFonts w:ascii="Cambria Math" w:hAnsi="Cambria Math"/>
              </w:rPr>
            </m:ctrlPr>
          </m:sub>
        </m:sSub>
      </m:oMath>
      <w:r>
        <w:t xml:space="preserve"> (antenna domain) could be 0.5 if only half of the MIMO transmit chains are actively transmitting (e.g. analog beamforming or antenna muting is used to save energy), and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t</m:t>
            </m:r>
            <m:ctrlPr>
              <w:rPr>
                <w:rFonts w:ascii="Cambria Math" w:hAnsi="Cambria Math"/>
              </w:rPr>
            </m:ctrlPr>
          </m:sub>
        </m:sSub>
      </m:oMath>
      <w:r>
        <w:t xml:space="preserve"> (time domain) might be 0.5 if only half the OFDM symbols in the slot carry user data while others are empty (allowing micro-sleep during those symbols). The product of these fractions reflects an idealized proportionality assumption – effectively assuming independent domains of resource utilization contribute multiplicatively to power consumption. While real power use may not scale perfectly linearly in each domain, this approach provides a tractable approximation. It enables evaluating energy-saving adaptations across time-domain (e.g. longer idle gaps), frequency-domain (narrower transmission bandwidth), spatial-domain (antenna shut-down or MIMO rank adaptation), and power control (lower transmit power)[</w:t>
      </w:r>
      <w:r>
        <w:rPr>
          <w:rFonts w:hint="eastAsia"/>
          <w:lang w:eastAsia="zh-CN"/>
        </w:rPr>
        <w:t>4</w:t>
      </w:r>
      <w:r>
        <w:t>][5].</w:t>
      </w:r>
    </w:p>
    <w:p w14:paraId="6AF596B0">
      <w:pPr>
        <w:pStyle w:val="5"/>
      </w:pPr>
      <w:r>
        <w:t xml:space="preserve">Importantly, TR 38.864 defines two hardware categories: </w:t>
      </w:r>
      <w:r>
        <w:rPr>
          <w:i/>
          <w:iCs/>
        </w:rPr>
        <w:t>Category 2</w:t>
      </w:r>
      <w:r>
        <w:t xml:space="preserve"> (state-of-art hardware, used for above values) and a hypothetical </w:t>
      </w:r>
      <w:r>
        <w:rPr>
          <w:i/>
          <w:iCs/>
        </w:rPr>
        <w:t>Category 1</w:t>
      </w:r>
      <w:r>
        <w:t xml:space="preserve"> (more advanced hardware with ultra-fast transitions and ultra-low sleep power). Category 1 represents an aspirational model with near-instantaneous wake-up and negligible power in sleep, which is not yet feasible. This distinction acknowledges that future BS designs could improve both static power overhead and transition speed. A key takeaway is that the majority of power in active state is consumed by the power amplifiers and RF chain (especially for massive MIMO macros), whereas in deep sleep most RF is off and only baseband and minimal circuitry draw power. For example, industry analysis indicates up to ~57% of BS power is in the RF/PA stage for a typical macro BS. Thus, techniques that reduce PA usage (either via duty cycle or reducing output power or number of active antennas) yield significant savings.</w:t>
      </w:r>
    </w:p>
    <w:p w14:paraId="672CE343">
      <w:pPr>
        <w:pStyle w:val="5"/>
        <w:rPr>
          <w:rFonts w:ascii="Times New Roman Bold Italic" w:hAnsi="Times New Roman Bold Italic" w:cs="Times New Roman Bold Italic"/>
          <w:b/>
          <w:bCs/>
          <w:i/>
          <w:iCs/>
        </w:rPr>
      </w:pPr>
      <w:r>
        <w:rPr>
          <w:rFonts w:ascii="Times New Roman Bold Italic" w:hAnsi="Times New Roman Bold Italic" w:cs="Times New Roman Bold Italic"/>
          <w:b/>
          <w:bCs/>
          <w:i/>
          <w:iCs/>
        </w:rPr>
        <w:t>Observation 1</w:t>
      </w:r>
      <w:r>
        <w:rPr>
          <w:rFonts w:hint="eastAsia" w:ascii="Times New Roman Bold Italic" w:hAnsi="Times New Roman Bold Italic" w:cs="Times New Roman Bold Italic"/>
          <w:b/>
          <w:bCs/>
          <w:i/>
          <w:iCs/>
          <w:lang w:eastAsia="zh-CN"/>
        </w:rPr>
        <w:t>1</w:t>
      </w:r>
      <w:r>
        <w:rPr>
          <w:rFonts w:ascii="Times New Roman Bold Italic" w:hAnsi="Times New Roman Bold Italic" w:cs="Times New Roman Bold Italic"/>
          <w:b/>
          <w:bCs/>
          <w:i/>
          <w:iCs/>
        </w:rPr>
        <w:t xml:space="preserve">: TR 38.864 defines two hardware categories: Category 2 (state-of-art hardware, used for above values) and a hypothetical Category 1 (more advanced hardware with ultra-fast transitions and ultra-low sleep power). Category 1 represents an aspirational model with near-instantaneous wake-up and negligible power in sleep, which is not yet feasible. </w:t>
      </w:r>
    </w:p>
    <w:p w14:paraId="6E819749">
      <w:pPr>
        <w:pStyle w:val="5"/>
        <w:rPr>
          <w:rFonts w:ascii="Times New Roman Bold Italic" w:hAnsi="Times New Roman Bold Italic" w:cs="Times New Roman Bold Italic"/>
          <w:b/>
          <w:bCs/>
          <w:i/>
          <w:iCs/>
        </w:rPr>
      </w:pPr>
      <w:r>
        <w:rPr>
          <w:rFonts w:ascii="Times New Roman Bold Italic" w:hAnsi="Times New Roman Bold Italic" w:cs="Times New Roman Bold Italic"/>
          <w:b/>
          <w:bCs/>
          <w:i/>
          <w:iCs/>
        </w:rPr>
        <w:t>Observation 1</w:t>
      </w:r>
      <w:r>
        <w:rPr>
          <w:rFonts w:hint="eastAsia" w:ascii="Times New Roman Bold Italic" w:hAnsi="Times New Roman Bold Italic" w:cs="Times New Roman Bold Italic"/>
          <w:b/>
          <w:bCs/>
          <w:i/>
          <w:iCs/>
          <w:lang w:eastAsia="zh-CN"/>
        </w:rPr>
        <w:t>2</w:t>
      </w:r>
      <w:r>
        <w:rPr>
          <w:rFonts w:ascii="Times New Roman Bold Italic" w:hAnsi="Times New Roman Bold Italic" w:cs="Times New Roman Bold Italic"/>
          <w:b/>
          <w:bCs/>
          <w:i/>
          <w:iCs/>
        </w:rPr>
        <w:t>: Industry analysis indicates up to ~57% of BS power is in the RF/PA stage for a typical macro BS. Thus, techniques that reduce PA usage (either via duty cycle or reducing output power or number of active antennas) yield significant savings.</w:t>
      </w:r>
    </w:p>
    <w:bookmarkEnd w:id="2"/>
    <w:p w14:paraId="781B5B79">
      <w:pPr>
        <w:pStyle w:val="4"/>
        <w:tabs>
          <w:tab w:val="clear" w:pos="432"/>
        </w:tabs>
      </w:pPr>
      <w:bookmarkStart w:id="3" w:name="Xb771f6f45b84a06d9a9909f9ff5869d59017b06"/>
      <w:r>
        <w:t xml:space="preserve"> Enhancements for 6G BS power modeling</w:t>
      </w:r>
    </w:p>
    <w:p w14:paraId="1D080308">
      <w:pPr>
        <w:pStyle w:val="83"/>
      </w:pPr>
      <w:r>
        <w:t>The 5G BS power model from TR 38.864 provides a solid foundation that 6G can reuse and extend. Key enhancements are discussed below:</w:t>
      </w:r>
    </w:p>
    <w:p w14:paraId="41099D7D">
      <w:pPr>
        <w:pStyle w:val="5"/>
        <w:numPr>
          <w:ilvl w:val="0"/>
          <w:numId w:val="16"/>
        </w:numPr>
      </w:pPr>
      <w:r>
        <w:rPr>
          <w:rFonts w:ascii="Times New Roman Bold Italic" w:hAnsi="Times New Roman Bold Italic" w:cs="Times New Roman Bold Italic"/>
          <w:b/>
          <w:bCs/>
          <w:i/>
          <w:iCs/>
          <w:u w:val="single"/>
        </w:rPr>
        <w:t xml:space="preserve">Minimum Bandwidth Operation: </w:t>
      </w:r>
      <w:r>
        <w:t xml:space="preserve">Unlike NR which typically assumes a minimum carrier bandwidth of 5 MHz (in FR1) for normal operation, 6G is expected to support even narrower bandwidth modes (e.g. </w:t>
      </w:r>
      <w:r>
        <w:rPr>
          <w:rFonts w:ascii="Times New Roman Bold" w:hAnsi="Times New Roman Bold" w:cs="Times New Roman Bold"/>
          <w:b/>
          <w:bCs/>
        </w:rPr>
        <w:t>~3 MHz</w:t>
      </w:r>
      <w:r>
        <w:t>) for specialized use cases or IoT services. We propose to explicitly include system bandwidth (</w:t>
      </w:r>
      <m:oMath>
        <m:r>
          <m:rPr/>
          <w:rPr>
            <w:rFonts w:ascii="Cambria Math" w:hAnsi="Cambria Math"/>
          </w:rPr>
          <m:t>B</m:t>
        </m:r>
      </m:oMath>
      <w:r>
        <w:t xml:space="preserve">) as a parameter in the BS power model, rather than implicitly assuming a fixed reference bandwidth. In practice, a BS designed for 100 MHz might still operate on a 5 MHz or 3 MHz carrier in certain modes; however, running a wideband radio at a fraction of its bandwidth may not scale linearly in power. To handle this, the model can define multiple reference bandwidth configurations, or include a bandwidth scaling factor that is not strictly linear for very small </w:t>
      </w:r>
      <m:oMath>
        <m:r>
          <m:rPr/>
          <w:rPr>
            <w:rFonts w:ascii="Cambria Math" w:hAnsi="Cambria Math"/>
          </w:rPr>
          <m:t>B</m:t>
        </m:r>
      </m:oMath>
      <w:r>
        <w:t xml:space="preserve">. For example, some analog/RF components (clock distribution, LO synthesizers, etc.) draw almost constant power once enabled, regardless of bandwidth. Thus, for 6G we refine the frequency-domain scaling term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f</m:t>
            </m:r>
            <m:ctrlPr>
              <w:rPr>
                <w:rFonts w:ascii="Cambria Math" w:hAnsi="Cambria Math"/>
              </w:rPr>
            </m:ctrlPr>
          </m:sub>
        </m:sSub>
      </m:oMath>
      <w:r>
        <w:t xml:space="preserve">: it should capture that below a certain bandwidth threshold, a fixed overhead remains. One approach is to model effective bandwidth utilization </w:t>
      </w:r>
      <m:oMath>
        <m:sSub>
          <m:sSubPr>
            <m:ctrlPr>
              <w:rPr>
                <w:rFonts w:ascii="Cambria Math" w:hAnsi="Cambria Math"/>
                <w:i/>
              </w:rPr>
            </m:ctrlPr>
          </m:sSubPr>
          <m:e>
            <m:r>
              <m:rPr/>
              <w:rPr>
                <w:rFonts w:ascii="Cambria Math" w:hAnsi="Cambria Math"/>
              </w:rPr>
              <m:t>α</m:t>
            </m:r>
            <m:ctrlPr>
              <w:rPr>
                <w:rFonts w:ascii="Cambria Math" w:hAnsi="Cambria Math"/>
                <w:i/>
              </w:rPr>
            </m:ctrlPr>
          </m:e>
          <m:sub>
            <m:r>
              <m:rPr/>
              <w:rPr>
                <w:rFonts w:ascii="DejaVu Math TeX Gyre" w:hAnsi="DejaVu Math TeX Gyre"/>
              </w:rPr>
              <m:t>f</m:t>
            </m:r>
            <m:ctrlPr>
              <w:rPr>
                <w:rFonts w:ascii="Cambria Math" w:hAnsi="Cambria Math"/>
                <w:i/>
              </w:rPr>
            </m:ctrlPr>
          </m:sub>
        </m:sSub>
        <m:r>
          <m:rPr/>
          <w:rPr>
            <w:rFonts w:ascii="Cambria Math" w:hAnsi="Cambria Math"/>
          </w:rPr>
          <m:t>=</m:t>
        </m:r>
        <m:r>
          <m:rPr/>
          <w:rPr>
            <w:rFonts w:ascii="DejaVu Math TeX Gyre" w:hAnsi="DejaVu Math TeX Gyre"/>
          </w:rPr>
          <m:t>{</m:t>
        </m:r>
        <m:r>
          <m:rPr/>
          <w:rPr>
            <w:rFonts w:ascii="Cambria Math" w:hAnsi="Cambria Math"/>
          </w:rPr>
          <m:t>Bocc−B_min}</m:t>
        </m:r>
        <m:r>
          <m:rPr/>
          <w:rPr>
            <w:rFonts w:ascii="DejaVu Math TeX Gyre" w:hAnsi="DejaVu Math TeX Gyre"/>
          </w:rPr>
          <m:t>/</m:t>
        </m:r>
        <m:r>
          <m:rPr/>
          <w:rPr>
            <w:rFonts w:ascii="Cambria Math" w:hAnsi="Cambria Math"/>
          </w:rPr>
          <m:t>{B_ref−B_min}</m:t>
        </m:r>
      </m:oMath>
      <w:r>
        <w:t xml:space="preserve"> (clamped between 0 and 1), where </w:t>
      </w:r>
      <m:oMath>
        <m:sSub>
          <m:sSubPr>
            <m:ctrlPr>
              <w:rPr>
                <w:rFonts w:ascii="Cambria Math" w:hAnsi="Cambria Math"/>
              </w:rPr>
            </m:ctrlPr>
          </m:sSubPr>
          <m:e>
            <m:r>
              <m:rPr/>
              <w:rPr>
                <w:rFonts w:ascii="Cambria Math" w:hAnsi="Cambria Math"/>
              </w:rPr>
              <m:t>B</m:t>
            </m:r>
            <m:ctrlPr>
              <w:rPr>
                <w:rFonts w:ascii="Cambria Math" w:hAnsi="Cambria Math"/>
              </w:rPr>
            </m:ctrlPr>
          </m:e>
          <m:sub>
            <m:r>
              <m:rPr/>
              <w:rPr>
                <w:rFonts w:ascii="Cambria Math" w:hAnsi="Cambria Math"/>
              </w:rPr>
              <m:t>min</m:t>
            </m:r>
            <m:ctrlPr>
              <w:rPr>
                <w:rFonts w:ascii="Cambria Math" w:hAnsi="Cambria Math"/>
              </w:rPr>
            </m:ctrlPr>
          </m:sub>
        </m:sSub>
      </m:oMath>
      <w:r>
        <w:t xml:space="preserve"> is a bandwidth below which power savings no longer scale (representing fixed RF power overhead). For instance, if a macro BS has a minimal operational overhead corresponding to ~3 MHz of bandwidth, then using 3 MHz or 1 MHz carrier yields roughly the same RF front-end power draw as 3 MHz reference. This enhancement ensures the model remains valid for 6G narrow-band deployments. We will define new reference configuration sets for 6G that include lower bandwidth options such as 5 MHz and 3 MHz carriers, especially in low-band spectrum (e.g. for massive IoT coverage). These would complement the existing 20 MHz and 100 MHz references[</w:t>
      </w:r>
      <w:r>
        <w:rPr>
          <w:rFonts w:hint="eastAsia"/>
          <w:lang w:eastAsia="zh-CN"/>
        </w:rPr>
        <w:t>5</w:t>
      </w:r>
      <w:r>
        <w:t>]. By doing so, evaluation of energy efficiency techniques can consider scenarios where only a few MHz are active (e.g. a control channel or broadcast in a largely sleeping cell), which is increasingly likely in 6G with its focus on lean design.</w:t>
      </w:r>
    </w:p>
    <w:p w14:paraId="218BA0BB">
      <w:pPr>
        <w:pStyle w:val="5"/>
        <w:rPr>
          <w:rFonts w:ascii="Times New Roman Bold Italic" w:hAnsi="Times New Roman Bold Italic" w:cs="Times New Roman Bold Italic"/>
          <w:b/>
          <w:bCs/>
          <w:i/>
          <w:iCs/>
        </w:rPr>
      </w:pPr>
      <w:r>
        <w:rPr>
          <w:rFonts w:ascii="Times New Roman Bold Italic" w:hAnsi="Times New Roman Bold Italic" w:cs="Times New Roman Bold Italic"/>
          <w:b/>
          <w:bCs/>
          <w:i/>
          <w:iCs/>
        </w:rPr>
        <w:t>Observation 1</w:t>
      </w:r>
      <w:r>
        <w:rPr>
          <w:rFonts w:hint="eastAsia" w:ascii="Times New Roman Bold Italic" w:hAnsi="Times New Roman Bold Italic" w:cs="Times New Roman Bold Italic"/>
          <w:b/>
          <w:bCs/>
          <w:i/>
          <w:iCs/>
          <w:lang w:eastAsia="zh-CN"/>
        </w:rPr>
        <w:t>3</w:t>
      </w:r>
      <w:r>
        <w:rPr>
          <w:rFonts w:ascii="Times New Roman Bold Italic" w:hAnsi="Times New Roman Bold Italic" w:cs="Times New Roman Bold Italic"/>
          <w:b/>
          <w:bCs/>
          <w:i/>
          <w:iCs/>
        </w:rPr>
        <w:t xml:space="preserve">:  BS designed for 100 MHz might still operate on a 5 MHz or 3 MHz </w:t>
      </w:r>
      <w:r>
        <w:rPr>
          <w:rFonts w:hint="eastAsia" w:ascii="Times New Roman Bold Italic" w:hAnsi="Times New Roman Bold Italic" w:cs="Times New Roman Bold Italic"/>
          <w:b/>
          <w:bCs/>
          <w:i/>
          <w:iCs/>
          <w:lang w:eastAsia="zh-CN"/>
        </w:rPr>
        <w:t>bandwidth</w:t>
      </w:r>
      <w:r>
        <w:rPr>
          <w:rFonts w:ascii="Times New Roman Bold Italic" w:hAnsi="Times New Roman Bold Italic" w:cs="Times New Roman Bold Italic"/>
          <w:b/>
          <w:bCs/>
          <w:i/>
          <w:iCs/>
        </w:rPr>
        <w:t xml:space="preserve"> in certain modes; however, running a wideband radio at a fraction of its bandwidth may not scale linearly in power.</w:t>
      </w:r>
    </w:p>
    <w:p w14:paraId="01C96FBB">
      <w:pPr>
        <w:pStyle w:val="5"/>
        <w:numPr>
          <w:ilvl w:val="0"/>
          <w:numId w:val="16"/>
        </w:numPr>
      </w:pPr>
      <w:r>
        <w:rPr>
          <w:rFonts w:ascii="Times New Roman Bold Italic" w:hAnsi="Times New Roman Bold Italic" w:cs="Times New Roman Bold Italic"/>
          <w:b/>
          <w:bCs/>
          <w:i/>
          <w:iCs/>
          <w:u w:val="single"/>
        </w:rPr>
        <w:t>Waveform and PA Efficiency Considerations:</w:t>
      </w:r>
      <w:r>
        <w:t xml:space="preserve"> The baseline NR model assumes CP-OFDM waveform (and DFT-s-OFDM for uplink) with the typical PA back-off requirements for that waveform’s PAPR. In 6G, while CP-OFDM will likely remain a primary waveform (for compatibility and multi-access), there is ongoing consideration of new waveforms or variants (e.g. spectrally localized or low-PAPR waveforms) for improved efficiency. If 6G introduces any waveform that materially affects PAPR or transmitter efficiency, the BS power model should incorporate a power amplifier efficiency factor </w:t>
      </w:r>
      <m:oMath>
        <m:r>
          <m:rPr/>
          <w:rPr>
            <w:rFonts w:ascii="Cambria Math" w:hAnsi="Cambria Math"/>
          </w:rPr>
          <m:t>η</m:t>
        </m:r>
      </m:oMath>
      <w:r>
        <w:t xml:space="preserve">. We propose augmenting the transmit power scaling term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m:t>
            </m:r>
            <m:ctrlPr>
              <w:rPr>
                <w:rFonts w:ascii="Cambria Math" w:hAnsi="Cambria Math"/>
              </w:rPr>
            </m:ctrlPr>
          </m:sub>
        </m:sSub>
      </m:oMath>
      <w:r>
        <w:t xml:space="preserve"> with </w:t>
      </w:r>
      <m:oMath>
        <m:r>
          <m:rPr/>
          <w:rPr>
            <w:rFonts w:ascii="Cambria Math" w:hAnsi="Cambria Math"/>
          </w:rPr>
          <m:t>η(waveform)</m:t>
        </m:r>
      </m:oMath>
      <w:r>
        <w:t xml:space="preserve"> to account for how much DC power is required for a given RF output. For example, a traditional CP-OFDM might have </w:t>
      </w:r>
      <m:oMath>
        <m:r>
          <m:rPr/>
          <w:rPr>
            <w:rFonts w:ascii="Cambria Math" w:hAnsi="Cambria Math"/>
          </w:rPr>
          <m:t>η</m:t>
        </m:r>
        <m:r>
          <m:rPr/>
          <w:rPr>
            <w:rFonts w:ascii="DejaVu Math TeX Gyre" w:hAnsi="DejaVu Math TeX Gyre"/>
          </w:rPr>
          <m:t>≈</m:t>
        </m:r>
        <m:r>
          <m:rPr/>
          <w:rPr>
            <w:rFonts w:ascii="DejaVu Math TeX Gyre" w:hAnsi="DejaVu Math TeX Gyre"/>
            <w:lang w:eastAsia="zh-CN"/>
          </w:rPr>
          <m:t>0</m:t>
        </m:r>
        <m:r>
          <m:rPr/>
          <w:rPr>
            <w:rFonts w:hint="eastAsia" w:ascii="DejaVu Math TeX Gyre" w:hAnsi="DejaVu Math TeX Gyre"/>
            <w:lang w:eastAsia="zh-CN"/>
          </w:rPr>
          <m:t>.</m:t>
        </m:r>
        <m:r>
          <m:rPr/>
          <w:rPr>
            <w:rFonts w:ascii="DejaVu Math TeX Gyre" w:hAnsi="DejaVu Math TeX Gyre"/>
            <w:lang w:eastAsia="zh-CN"/>
          </w:rPr>
          <m:t xml:space="preserve">2 </m:t>
        </m:r>
      </m:oMath>
      <w:r>
        <w:t xml:space="preserve">at maximum power (meaning 5× more power drawn than radiated), whereas a hypothetical new waveform or improved PA technology could raise this to 30% or 40%. In formula form, if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out</m:t>
            </m:r>
            <m:ctrlPr>
              <w:rPr>
                <w:rFonts w:ascii="Cambria Math" w:hAnsi="Cambria Math"/>
              </w:rPr>
            </m:ctrlPr>
          </m:sub>
        </m:sSub>
      </m:oMath>
      <w:r>
        <w:t xml:space="preserve"> is the actual RF output power and </w:t>
      </w:r>
      <m:oMath>
        <m:r>
          <m:rPr/>
          <w:rPr>
            <w:rFonts w:ascii="Cambria Math" w:hAnsi="Cambria Math"/>
          </w:rPr>
          <m:t>η</m:t>
        </m:r>
      </m:oMath>
      <w:r>
        <w:t xml:space="preserve"> is efficiency, then the PA power draw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PA</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out</m:t>
            </m:r>
            <m:ctrlPr>
              <w:rPr>
                <w:rFonts w:ascii="Cambria Math" w:hAnsi="Cambria Math"/>
              </w:rPr>
            </m:ctrlPr>
          </m:sub>
        </m:sSub>
        <m:r>
          <m:rPr/>
          <w:rPr>
            <w:rFonts w:ascii="Cambria Math" w:hAnsi="Cambria Math"/>
          </w:rPr>
          <m:t>/η</m:t>
        </m:r>
      </m:oMath>
      <w:r>
        <w:t xml:space="preserve">. In our model, the term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m:t>
            </m:r>
            <m:ctrlPr>
              <w:rPr>
                <w:rFonts w:ascii="Cambria Math" w:hAnsi="Cambria Math"/>
              </w:rPr>
            </m:ctrlPr>
          </m:sub>
        </m:sSub>
      </m:oMath>
      <w:r>
        <w:t xml:space="preserve"> can be refined as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out</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max</m:t>
            </m:r>
            <m:ctrlPr>
              <w:rPr>
                <w:rFonts w:ascii="Cambria Math" w:hAnsi="Cambria Math"/>
              </w:rPr>
            </m:ctrlPr>
          </m:sub>
        </m:sSub>
      </m:oMath>
      <w:r>
        <w:t xml:space="preserve"> and then scaled by an </w:t>
      </w:r>
      <m:oMath>
        <m:r>
          <m:rPr/>
          <w:rPr>
            <w:rFonts w:ascii="Cambria Math" w:hAnsi="Cambria Math"/>
          </w:rPr>
          <m:t>η</m:t>
        </m:r>
      </m:oMath>
      <w:r>
        <w:t xml:space="preserve"> reference. For example, for CP-OFDM downlink we might set </w:t>
      </w:r>
      <m:oMath>
        <m:sSub>
          <m:sSubPr>
            <m:ctrlPr>
              <w:rPr>
                <w:rFonts w:ascii="Cambria Math" w:hAnsi="Cambria Math"/>
              </w:rPr>
            </m:ctrlPr>
          </m:sSubPr>
          <m:e>
            <m:r>
              <m:rPr/>
              <w:rPr>
                <w:rFonts w:ascii="Cambria Math" w:hAnsi="Cambria Math"/>
              </w:rPr>
              <m:t>η</m:t>
            </m:r>
            <m:ctrlPr>
              <w:rPr>
                <w:rFonts w:ascii="Cambria Math" w:hAnsi="Cambria Math"/>
              </w:rPr>
            </m:ctrlPr>
          </m:e>
          <m:sub>
            <m:r>
              <m:rPr/>
              <w:rPr>
                <w:rFonts w:ascii="Cambria Math" w:hAnsi="Cambria Math"/>
              </w:rPr>
              <m:t>ref</m:t>
            </m:r>
            <m:ctrlPr>
              <w:rPr>
                <w:rFonts w:ascii="Cambria Math" w:hAnsi="Cambria Math"/>
              </w:rPr>
            </m:ctrlPr>
          </m:sub>
        </m:sSub>
        <m:r>
          <m:rPr/>
          <w:rPr>
            <w:rFonts w:ascii="Cambria Math" w:hAnsi="Cambria Math"/>
          </w:rPr>
          <m:t>=0</m:t>
        </m:r>
        <m:r>
          <m:rPr/>
          <w:rPr>
            <w:rFonts w:ascii="DejaVu Math TeX Gyre" w:hAnsi="DejaVu Math TeX Gyre"/>
          </w:rPr>
          <m:t>.</m:t>
        </m:r>
        <m:r>
          <m:rPr/>
          <w:rPr>
            <w:rFonts w:ascii="Cambria Math" w:hAnsi="Cambria Math"/>
          </w:rPr>
          <m:t>2</m:t>
        </m:r>
      </m:oMath>
      <w:r>
        <w:t xml:space="preserve">, while a more efficient mode (or DFT-s-OFDM uplink with lower PAPR) might effectively behave as </w:t>
      </w:r>
      <m:oMath>
        <m:sSub>
          <m:sSubPr>
            <m:ctrlPr>
              <w:rPr>
                <w:rFonts w:ascii="Cambria Math" w:hAnsi="Cambria Math"/>
              </w:rPr>
            </m:ctrlPr>
          </m:sSubPr>
          <m:e>
            <m:r>
              <m:rPr/>
              <w:rPr>
                <w:rFonts w:ascii="Cambria Math" w:hAnsi="Cambria Math"/>
              </w:rPr>
              <m:t>η</m:t>
            </m:r>
            <m:ctrlPr>
              <w:rPr>
                <w:rFonts w:ascii="Cambria Math" w:hAnsi="Cambria Math"/>
              </w:rPr>
            </m:ctrlPr>
          </m:e>
          <m:sub>
            <m:r>
              <m:rPr/>
              <w:rPr>
                <w:rFonts w:ascii="Cambria Math" w:hAnsi="Cambria Math"/>
              </w:rPr>
              <m:t>eff</m:t>
            </m:r>
            <m:ctrlPr>
              <w:rPr>
                <w:rFonts w:ascii="Cambria Math" w:hAnsi="Cambria Math"/>
              </w:rPr>
            </m:ctrlPr>
          </m:sub>
        </m:sSub>
        <m:r>
          <m:rPr/>
          <w:rPr>
            <w:rFonts w:ascii="Cambria Math" w:hAnsi="Cambria Math"/>
          </w:rPr>
          <m:t>=0</m:t>
        </m:r>
        <m:r>
          <m:rPr/>
          <w:rPr>
            <w:rFonts w:ascii="DejaVu Math TeX Gyre" w:hAnsi="DejaVu Math TeX Gyre"/>
          </w:rPr>
          <m:t>.</m:t>
        </m:r>
        <m:r>
          <m:rPr/>
          <w:rPr>
            <w:rFonts w:ascii="Cambria Math" w:hAnsi="Cambria Math"/>
          </w:rPr>
          <m:t>25</m:t>
        </m:r>
      </m:oMath>
      <w:r>
        <w:t xml:space="preserve">. This nuance would allow the model to differentiate power consumption based on waveform and PA technology. All formulas remain of similar form, but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BS,DL(full)</m:t>
            </m:r>
            <m:ctrlPr>
              <w:rPr>
                <w:rFonts w:ascii="Cambria Math" w:hAnsi="Cambria Math"/>
              </w:rPr>
            </m:ctrlPr>
          </m:sub>
        </m:sSub>
      </m:oMath>
      <w:r>
        <w:t xml:space="preserve"> could be derived assuming a certain </w:t>
      </w:r>
      <m:oMath>
        <m:r>
          <m:rPr/>
          <w:rPr>
            <w:rFonts w:ascii="Cambria Math" w:hAnsi="Cambria Math"/>
          </w:rPr>
          <m:t>η</m:t>
        </m:r>
      </m:oMath>
      <w:r>
        <w:t xml:space="preserve">; switching waveforms or PA classes effectively changes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BS,DL(full)</m:t>
            </m:r>
            <m:ctrlPr>
              <w:rPr>
                <w:rFonts w:ascii="Cambria Math" w:hAnsi="Cambria Math"/>
              </w:rPr>
            </m:ctrlPr>
          </m:sub>
        </m:sSub>
      </m:oMath>
      <w:r>
        <w:t xml:space="preserve"> or the fraction of it used at lower power. For the sake of the 3GPP model documentation, this can be encapsulated by providing separate tables for different waveform/PA assumptions, or a correction factor for scenarios using e.g. DFT-s-OFDM in uplink (which might slightly reduce BS receive power due to lower linearity requirements on uplink RF chain).</w:t>
      </w:r>
    </w:p>
    <w:p w14:paraId="546997E6">
      <w:pPr>
        <w:pStyle w:val="5"/>
        <w:rPr>
          <w:rFonts w:ascii="Times New Roman Bold Italic" w:hAnsi="Times New Roman Bold Italic" w:cs="Times New Roman Bold Italic"/>
          <w:b/>
          <w:bCs/>
          <w:i/>
          <w:iCs/>
        </w:rPr>
      </w:pPr>
      <w:r>
        <w:rPr>
          <w:rFonts w:ascii="Times New Roman Bold Italic" w:hAnsi="Times New Roman Bold Italic" w:cs="Times New Roman Bold Italic"/>
          <w:b/>
          <w:bCs/>
          <w:i/>
          <w:iCs/>
        </w:rPr>
        <w:t>Observation 1</w:t>
      </w:r>
      <w:r>
        <w:rPr>
          <w:rFonts w:hint="eastAsia" w:ascii="Times New Roman Bold Italic" w:hAnsi="Times New Roman Bold Italic" w:cs="Times New Roman Bold Italic"/>
          <w:b/>
          <w:bCs/>
          <w:i/>
          <w:iCs/>
          <w:lang w:eastAsia="zh-CN"/>
        </w:rPr>
        <w:t>4</w:t>
      </w:r>
      <w:r>
        <w:rPr>
          <w:rFonts w:ascii="Times New Roman Bold Italic" w:hAnsi="Times New Roman Bold Italic" w:cs="Times New Roman Bold Italic"/>
          <w:b/>
          <w:bCs/>
          <w:i/>
          <w:iCs/>
        </w:rPr>
        <w:t xml:space="preserve">:  The baseline NR model assumes CP-OFDM waveform (and DFT-s-OFDM for uplink) with the typical PA back-off requirements for that waveform’s PAPR. In 6G, while CP-OFDM will likely remain a primary waveform (for compatibility and multi-access), there is ongoing consideration of new waveforms or variants (e.g. spectrally localized or low-PAPR waveforms) for improved efficiency. </w:t>
      </w:r>
    </w:p>
    <w:p w14:paraId="35FE856C">
      <w:pPr>
        <w:pStyle w:val="5"/>
      </w:pPr>
      <w:r>
        <w:rPr>
          <w:rFonts w:ascii="Times New Roman Bold Italic" w:hAnsi="Times New Roman Bold Italic" w:cs="Times New Roman Bold Italic"/>
          <w:b/>
          <w:bCs/>
          <w:i/>
          <w:iCs/>
          <w:u w:val="single"/>
        </w:rPr>
        <w:t>(c) Frame Structure and Duplex Mode:</w:t>
      </w:r>
      <w:r>
        <w:t xml:space="preserve"> The existing model focuses on TDD (all reference sets in TR 38.864 are TDD). In 6G, TDD will remain prevalent for mid/high bands, but there may be renewed interest in FDD for lower bands (to reuse legacy spectrum and enable continuous coverage). We propose extending the model to handle FDD operation, where downlink and uplink can be active simultaneously. In an FDD 6G BS, the power consumption in a given moment is roughly the sum of </w:t>
      </w:r>
      <w:r>
        <w:rPr>
          <w:i/>
          <w:iCs/>
        </w:rPr>
        <w:t>downlink-chain power</w:t>
      </w:r>
      <w:r>
        <w:t xml:space="preserve"> and </w:t>
      </w:r>
      <w:r>
        <w:rPr>
          <w:i/>
          <w:iCs/>
        </w:rPr>
        <w:t>uplink-chain power</w:t>
      </w:r>
      <w:r>
        <w:t xml:space="preserve"> (since separate transmit and receive chains operate concurrently). We can introduce a composite formula</w:t>
      </w:r>
      <w:r>
        <w:rPr>
          <w:rFonts w:hint="eastAsia"/>
          <w:lang w:eastAsia="zh-CN"/>
        </w:rPr>
        <w:t xml:space="preserve"> </w:t>
      </w:r>
      <w:r>
        <w:rPr>
          <w:lang w:eastAsia="zh-CN"/>
        </w:rPr>
        <w:t>based on [4]</w:t>
      </w:r>
      <w:r>
        <w:rPr>
          <w:rFonts w:hint="eastAsia"/>
          <w:lang w:eastAsia="zh-CN"/>
        </w:rPr>
        <w:t xml:space="preserve"> </w:t>
      </w:r>
      <w:r>
        <w:rPr>
          <w:lang w:eastAsia="zh-CN"/>
        </w:rPr>
        <w:t>(here, P represents energy during one slot or power consumption)</w:t>
      </w:r>
      <w:r>
        <w:t>:</w:t>
      </w:r>
    </w:p>
    <w:p w14:paraId="0735BACD">
      <w:pPr>
        <w:pStyle w:val="5"/>
      </w:pPr>
      <m:oMathPara>
        <m:oMathParaPr>
          <m:jc m:val="center"/>
        </m:oMathParaPr>
        <m:oMath>
          <m:sSubSup>
            <m:sSubSupPr>
              <m:ctrlPr>
                <w:rPr>
                  <w:rFonts w:ascii="Cambria Math" w:hAnsi="Cambria Math"/>
                </w:rPr>
              </m:ctrlPr>
            </m:sSubSupPr>
            <m:e>
              <m:r>
                <m:rPr/>
                <w:rPr>
                  <w:rFonts w:ascii="Cambria Math" w:hAnsi="Cambria Math"/>
                </w:rPr>
                <m:t>P</m:t>
              </m:r>
              <m:ctrlPr>
                <w:rPr>
                  <w:rFonts w:ascii="Cambria Math" w:hAnsi="Cambria Math"/>
                </w:rPr>
              </m:ctrlPr>
            </m:e>
            <m:sub>
              <m:r>
                <m:rPr>
                  <m:nor/>
                  <m:sty m:val="p"/>
                </m:rPr>
                <w:rPr>
                  <w:b w:val="0"/>
                  <w:i w:val="0"/>
                </w:rPr>
                <m:t>BS</m:t>
              </m:r>
              <m:ctrlPr>
                <w:rPr>
                  <w:rFonts w:ascii="Cambria Math" w:hAnsi="Cambria Math"/>
                </w:rPr>
              </m:ctrlPr>
            </m:sub>
            <m:sup>
              <m:r>
                <m:rPr>
                  <m:nor/>
                  <m:sty m:val="p"/>
                </m:rPr>
                <w:rPr>
                  <w:b w:val="0"/>
                  <w:i w:val="0"/>
                </w:rPr>
                <m:t>(FDD)</m:t>
              </m:r>
              <m:ctrlPr>
                <w:rPr>
                  <w:rFonts w:ascii="Cambria Math" w:hAnsi="Cambria Math"/>
                </w:rPr>
              </m:ctrlPr>
            </m:sup>
          </m:sSubSup>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m:t>
              </m:r>
              <m:r>
                <m:rPr>
                  <m:sty m:val="p"/>
                </m:rPr>
                <w:rPr>
                  <w:rFonts w:ascii="Cambria Math" w:hAnsi="Cambria Math"/>
                </w:rPr>
                <m:t>,deep</m:t>
              </m:r>
              <m:ctrlPr>
                <w:rPr>
                  <w:rFonts w:ascii="Cambria Math" w:hAnsi="Cambria Math"/>
                </w:rPr>
              </m:ctrlPr>
            </m:sub>
          </m:sSub>
          <m:r>
            <m:rPr>
              <m:sty m:val="p"/>
            </m:rPr>
            <w:rPr>
              <w:rFonts w:ascii="Cambria Math" w:hAnsi="Cambria Math"/>
            </w:rPr>
            <m:t>+</m:t>
          </m:r>
          <m:r>
            <m:rPr/>
            <w:rPr>
              <w:rFonts w:ascii="Cambria Math" w:hAnsi="Cambria Math"/>
            </w:rPr>
            <m:t>Δ</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DL</m:t>
              </m:r>
              <m:ctrlPr>
                <w:rPr>
                  <w:rFonts w:ascii="Cambria Math" w:hAnsi="Cambria Math"/>
                </w:rPr>
              </m:ctrlPr>
            </m:sub>
          </m:sSub>
          <m:r>
            <m:rPr/>
            <w:rPr>
              <w:rFonts w:ascii="Cambria Math" w:hAnsi="Cambria Math"/>
            </w:rPr>
            <m:t> </m:t>
          </m:r>
          <m:d>
            <m:dPr>
              <m:ctrlPr>
                <w:rPr>
                  <w:rFonts w:ascii="Cambria Math" w:hAnsi="Cambria Math"/>
                </w:rPr>
              </m:ctrlPr>
            </m:dPr>
            <m:e>
              <m:sSubSup>
                <m:sSubSupPr>
                  <m:ctrlPr>
                    <w:rPr>
                      <w:rFonts w:ascii="Cambria Math" w:hAnsi="Cambria Math"/>
                    </w:rPr>
                  </m:ctrlPr>
                </m:sSubSupPr>
                <m:e>
                  <m:r>
                    <m:rPr/>
                    <w:rPr>
                      <w:rFonts w:ascii="Cambria Math" w:hAnsi="Cambria Math"/>
                    </w:rPr>
                    <m:t>α</m:t>
                  </m:r>
                  <m:ctrlPr>
                    <w:rPr>
                      <w:rFonts w:ascii="Cambria Math" w:hAnsi="Cambria Math"/>
                    </w:rPr>
                  </m:ctrlPr>
                </m:e>
                <m:sub>
                  <m:r>
                    <m:rPr/>
                    <w:rPr>
                      <w:rFonts w:ascii="Cambria Math" w:hAnsi="Cambria Math"/>
                    </w:rPr>
                    <m:t>t</m:t>
                  </m:r>
                  <m:ctrlPr>
                    <w:rPr>
                      <w:rFonts w:ascii="Cambria Math" w:hAnsi="Cambria Math"/>
                    </w:rPr>
                  </m:ctrlPr>
                </m:sub>
                <m:sup>
                  <m:r>
                    <m:rPr/>
                    <w:rPr>
                      <w:rFonts w:ascii="Cambria Math" w:hAnsi="Cambria Math"/>
                    </w:rPr>
                    <m:t>DL</m:t>
                  </m:r>
                  <m:ctrlPr>
                    <w:rPr>
                      <w:rFonts w:ascii="Cambria Math" w:hAnsi="Cambria Math"/>
                    </w:rPr>
                  </m:ctrlPr>
                </m:sup>
              </m:sSubSup>
              <m:sSubSup>
                <m:sSubSupPr>
                  <m:ctrlPr>
                    <w:rPr>
                      <w:rFonts w:ascii="Cambria Math" w:hAnsi="Cambria Math"/>
                    </w:rPr>
                  </m:ctrlPr>
                </m:sSubSupPr>
                <m:e>
                  <m:r>
                    <m:rPr/>
                    <w:rPr>
                      <w:rFonts w:ascii="Cambria Math" w:hAnsi="Cambria Math"/>
                    </w:rPr>
                    <m:t>α</m:t>
                  </m:r>
                  <m:ctrlPr>
                    <w:rPr>
                      <w:rFonts w:ascii="Cambria Math" w:hAnsi="Cambria Math"/>
                    </w:rPr>
                  </m:ctrlPr>
                </m:e>
                <m:sub>
                  <m:r>
                    <m:rPr/>
                    <w:rPr>
                      <w:rFonts w:ascii="Cambria Math" w:hAnsi="Cambria Math"/>
                    </w:rPr>
                    <m:t>f</m:t>
                  </m:r>
                  <m:ctrlPr>
                    <w:rPr>
                      <w:rFonts w:ascii="Cambria Math" w:hAnsi="Cambria Math"/>
                    </w:rPr>
                  </m:ctrlPr>
                </m:sub>
                <m:sup>
                  <m:r>
                    <m:rPr/>
                    <w:rPr>
                      <w:rFonts w:ascii="Cambria Math" w:hAnsi="Cambria Math"/>
                    </w:rPr>
                    <m:t>DL</m:t>
                  </m:r>
                  <m:ctrlPr>
                    <w:rPr>
                      <w:rFonts w:ascii="Cambria Math" w:hAnsi="Cambria Math"/>
                    </w:rPr>
                  </m:ctrlPr>
                </m:sup>
              </m:sSubSup>
              <m:sSubSup>
                <m:sSubSupPr>
                  <m:ctrlPr>
                    <w:rPr>
                      <w:rFonts w:ascii="Cambria Math" w:hAnsi="Cambria Math"/>
                    </w:rPr>
                  </m:ctrlPr>
                </m:sSubSupPr>
                <m:e>
                  <m:r>
                    <m:rPr/>
                    <w:rPr>
                      <w:rFonts w:ascii="Cambria Math" w:hAnsi="Cambria Math"/>
                    </w:rPr>
                    <m:t>α</m:t>
                  </m:r>
                  <m:ctrlPr>
                    <w:rPr>
                      <w:rFonts w:ascii="Cambria Math" w:hAnsi="Cambria Math"/>
                    </w:rPr>
                  </m:ctrlPr>
                </m:e>
                <m:sub>
                  <m:r>
                    <m:rPr/>
                    <w:rPr>
                      <w:rFonts w:ascii="Cambria Math" w:hAnsi="Cambria Math"/>
                    </w:rPr>
                    <m:t>a</m:t>
                  </m:r>
                  <m:ctrlPr>
                    <w:rPr>
                      <w:rFonts w:ascii="Cambria Math" w:hAnsi="Cambria Math"/>
                    </w:rPr>
                  </m:ctrlPr>
                </m:sub>
                <m:sup>
                  <m:r>
                    <m:rPr/>
                    <w:rPr>
                      <w:rFonts w:ascii="Cambria Math" w:hAnsi="Cambria Math"/>
                    </w:rPr>
                    <m:t>DL</m:t>
                  </m:r>
                  <m:ctrlPr>
                    <w:rPr>
                      <w:rFonts w:ascii="Cambria Math" w:hAnsi="Cambria Math"/>
                    </w:rPr>
                  </m:ctrlPr>
                </m:sup>
              </m:sSubSup>
              <m:sSubSup>
                <m:sSubSupPr>
                  <m:ctrlPr>
                    <w:rPr>
                      <w:rFonts w:ascii="Cambria Math" w:hAnsi="Cambria Math"/>
                    </w:rPr>
                  </m:ctrlPr>
                </m:sSubSupPr>
                <m:e>
                  <m:r>
                    <m:rPr/>
                    <w:rPr>
                      <w:rFonts w:ascii="Cambria Math" w:hAnsi="Cambria Math"/>
                    </w:rPr>
                    <m:t>α</m:t>
                  </m:r>
                  <m:ctrlPr>
                    <w:rPr>
                      <w:rFonts w:ascii="Cambria Math" w:hAnsi="Cambria Math"/>
                    </w:rPr>
                  </m:ctrlPr>
                </m:e>
                <m:sub>
                  <m:r>
                    <m:rPr/>
                    <w:rPr>
                      <w:rFonts w:ascii="Cambria Math" w:hAnsi="Cambria Math"/>
                    </w:rPr>
                    <m:t>p</m:t>
                  </m:r>
                  <m:ctrlPr>
                    <w:rPr>
                      <w:rFonts w:ascii="Cambria Math" w:hAnsi="Cambria Math"/>
                    </w:rPr>
                  </m:ctrlPr>
                </m:sub>
                <m:sup>
                  <m:r>
                    <m:rPr/>
                    <w:rPr>
                      <w:rFonts w:ascii="Cambria Math" w:hAnsi="Cambria Math"/>
                    </w:rPr>
                    <m:t>DL</m:t>
                  </m:r>
                  <m:ctrlPr>
                    <w:rPr>
                      <w:rFonts w:ascii="Cambria Math" w:hAnsi="Cambria Math"/>
                    </w:rPr>
                  </m:ctrlPr>
                </m:sup>
              </m:sSubSup>
              <m:ctrlPr>
                <w:rPr>
                  <w:rFonts w:ascii="Cambria Math" w:hAnsi="Cambria Math"/>
                </w:rPr>
              </m:ctrlPr>
            </m:e>
          </m:d>
          <m:r>
            <m:rPr/>
            <w:rPr>
              <w:rFonts w:ascii="Cambria Math" w:hAnsi="Cambria Math"/>
            </w:rPr>
            <m:t> </m:t>
          </m:r>
          <m:r>
            <m:rPr>
              <m:sty m:val="p"/>
            </m:rPr>
            <w:rPr>
              <w:rFonts w:ascii="Cambria Math" w:hAnsi="Cambria Math"/>
            </w:rPr>
            <m:t>+</m:t>
          </m:r>
          <m:r>
            <m:rPr/>
            <w:rPr>
              <w:rFonts w:ascii="Cambria Math" w:hAnsi="Cambria Math"/>
            </w:rPr>
            <m:t> Δ</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UL</m:t>
              </m:r>
              <m:ctrlPr>
                <w:rPr>
                  <w:rFonts w:ascii="Cambria Math" w:hAnsi="Cambria Math"/>
                </w:rPr>
              </m:ctrlPr>
            </m:sub>
          </m:sSub>
          <m:r>
            <m:rPr/>
            <w:rPr>
              <w:rFonts w:ascii="Cambria Math" w:hAnsi="Cambria Math"/>
            </w:rPr>
            <m:t> </m:t>
          </m:r>
          <m:d>
            <m:dPr>
              <m:ctrlPr>
                <w:rPr>
                  <w:rFonts w:ascii="Cambria Math" w:hAnsi="Cambria Math"/>
                </w:rPr>
              </m:ctrlPr>
            </m:dPr>
            <m:e>
              <m:sSubSup>
                <m:sSubSupPr>
                  <m:ctrlPr>
                    <w:rPr>
                      <w:rFonts w:ascii="Cambria Math" w:hAnsi="Cambria Math"/>
                    </w:rPr>
                  </m:ctrlPr>
                </m:sSubSupPr>
                <m:e>
                  <m:r>
                    <m:rPr/>
                    <w:rPr>
                      <w:rFonts w:ascii="Cambria Math" w:hAnsi="Cambria Math"/>
                    </w:rPr>
                    <m:t>α</m:t>
                  </m:r>
                  <m:ctrlPr>
                    <w:rPr>
                      <w:rFonts w:ascii="Cambria Math" w:hAnsi="Cambria Math"/>
                    </w:rPr>
                  </m:ctrlPr>
                </m:e>
                <m:sub>
                  <m:r>
                    <m:rPr/>
                    <w:rPr>
                      <w:rFonts w:ascii="Cambria Math" w:hAnsi="Cambria Math"/>
                    </w:rPr>
                    <m:t>t</m:t>
                  </m:r>
                  <m:ctrlPr>
                    <w:rPr>
                      <w:rFonts w:ascii="Cambria Math" w:hAnsi="Cambria Math"/>
                    </w:rPr>
                  </m:ctrlPr>
                </m:sub>
                <m:sup>
                  <m:r>
                    <m:rPr/>
                    <w:rPr>
                      <w:rFonts w:ascii="Cambria Math" w:hAnsi="Cambria Math"/>
                    </w:rPr>
                    <m:t>UL</m:t>
                  </m:r>
                  <m:ctrlPr>
                    <w:rPr>
                      <w:rFonts w:ascii="Cambria Math" w:hAnsi="Cambria Math"/>
                    </w:rPr>
                  </m:ctrlPr>
                </m:sup>
              </m:sSubSup>
              <m:sSubSup>
                <m:sSubSupPr>
                  <m:ctrlPr>
                    <w:rPr>
                      <w:rFonts w:ascii="Cambria Math" w:hAnsi="Cambria Math"/>
                    </w:rPr>
                  </m:ctrlPr>
                </m:sSubSupPr>
                <m:e>
                  <m:r>
                    <m:rPr/>
                    <w:rPr>
                      <w:rFonts w:ascii="Cambria Math" w:hAnsi="Cambria Math"/>
                    </w:rPr>
                    <m:t>α</m:t>
                  </m:r>
                  <m:ctrlPr>
                    <w:rPr>
                      <w:rFonts w:ascii="Cambria Math" w:hAnsi="Cambria Math"/>
                    </w:rPr>
                  </m:ctrlPr>
                </m:e>
                <m:sub>
                  <m:r>
                    <m:rPr/>
                    <w:rPr>
                      <w:rFonts w:ascii="Cambria Math" w:hAnsi="Cambria Math"/>
                    </w:rPr>
                    <m:t>f</m:t>
                  </m:r>
                  <m:ctrlPr>
                    <w:rPr>
                      <w:rFonts w:ascii="Cambria Math" w:hAnsi="Cambria Math"/>
                    </w:rPr>
                  </m:ctrlPr>
                </m:sub>
                <m:sup>
                  <m:r>
                    <m:rPr/>
                    <w:rPr>
                      <w:rFonts w:ascii="Cambria Math" w:hAnsi="Cambria Math"/>
                    </w:rPr>
                    <m:t>UL</m:t>
                  </m:r>
                  <m:ctrlPr>
                    <w:rPr>
                      <w:rFonts w:ascii="Cambria Math" w:hAnsi="Cambria Math"/>
                    </w:rPr>
                  </m:ctrlPr>
                </m:sup>
              </m:sSubSup>
              <m:sSubSup>
                <m:sSubSupPr>
                  <m:ctrlPr>
                    <w:rPr>
                      <w:rFonts w:ascii="Cambria Math" w:hAnsi="Cambria Math"/>
                    </w:rPr>
                  </m:ctrlPr>
                </m:sSubSupPr>
                <m:e>
                  <m:r>
                    <m:rPr/>
                    <w:rPr>
                      <w:rFonts w:ascii="Cambria Math" w:hAnsi="Cambria Math"/>
                    </w:rPr>
                    <m:t>α</m:t>
                  </m:r>
                  <m:ctrlPr>
                    <w:rPr>
                      <w:rFonts w:ascii="Cambria Math" w:hAnsi="Cambria Math"/>
                    </w:rPr>
                  </m:ctrlPr>
                </m:e>
                <m:sub>
                  <m:r>
                    <m:rPr/>
                    <w:rPr>
                      <w:rFonts w:ascii="Cambria Math" w:hAnsi="Cambria Math"/>
                    </w:rPr>
                    <m:t>a</m:t>
                  </m:r>
                  <m:ctrlPr>
                    <w:rPr>
                      <w:rFonts w:ascii="Cambria Math" w:hAnsi="Cambria Math"/>
                    </w:rPr>
                  </m:ctrlPr>
                </m:sub>
                <m:sup>
                  <m:r>
                    <m:rPr/>
                    <w:rPr>
                      <w:rFonts w:ascii="Cambria Math" w:hAnsi="Cambria Math"/>
                    </w:rPr>
                    <m:t>UL</m:t>
                  </m:r>
                  <m:ctrlPr>
                    <w:rPr>
                      <w:rFonts w:ascii="Cambria Math" w:hAnsi="Cambria Math"/>
                    </w:rPr>
                  </m:ctrlPr>
                </m:sup>
              </m:sSubSup>
              <m:ctrlPr>
                <w:rPr>
                  <w:rFonts w:ascii="Cambria Math" w:hAnsi="Cambria Math"/>
                </w:rPr>
              </m:ctrlPr>
            </m:e>
          </m:d>
          <m:r>
            <m:rPr/>
            <w:rPr>
              <w:rFonts w:ascii="Cambria Math" w:hAnsi="Cambria Math"/>
            </w:rPr>
            <m:t> </m:t>
          </m:r>
          <m:r>
            <m:rPr>
              <m:sty m:val="p"/>
            </m:rPr>
            <w:rPr>
              <w:rFonts w:ascii="Cambria Math" w:hAnsi="Cambria Math"/>
            </w:rPr>
            <m:t>,</m:t>
          </m:r>
        </m:oMath>
      </m:oMathPara>
    </w:p>
    <w:p w14:paraId="6AC48675">
      <w:pPr>
        <w:pStyle w:val="83"/>
      </w:pPr>
      <w:r>
        <w:t xml:space="preserve">where the downlink and uplink utilization factors are computed over the same time interval (e.g. 1 ms) but for their respective channels. Here </w:t>
      </w:r>
      <m:oMath>
        <m:r>
          <m:rPr/>
          <w:rPr>
            <w:rFonts w:ascii="Cambria Math" w:hAnsi="Cambria Math"/>
          </w:rPr>
          <m:t>Δ</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DL</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BS,DL(full)</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BS,deep</m:t>
            </m:r>
            <m:ctrlPr>
              <w:rPr>
                <w:rFonts w:ascii="Cambria Math" w:hAnsi="Cambria Math"/>
              </w:rPr>
            </m:ctrlPr>
          </m:sub>
        </m:sSub>
      </m:oMath>
      <w:r>
        <w:t xml:space="preserve"> and </w:t>
      </w:r>
      <m:oMath>
        <m:r>
          <m:rPr/>
          <w:rPr>
            <w:rFonts w:ascii="Cambria Math" w:hAnsi="Cambria Math"/>
          </w:rPr>
          <m:t>Δ</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UL</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BS,UL(full)</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BS,deep</m:t>
            </m:r>
            <m:ctrlPr>
              <w:rPr>
                <w:rFonts w:ascii="Cambria Math" w:hAnsi="Cambria Math"/>
              </w:rPr>
            </m:ctrlPr>
          </m:sub>
        </m:sSub>
      </m:oMath>
      <w:r>
        <w:t xml:space="preserve">. We omit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p</m:t>
            </m:r>
            <m:ctrlPr>
              <w:rPr>
                <w:rFonts w:ascii="Cambria Math" w:hAnsi="Cambria Math"/>
              </w:rPr>
            </m:ctrlPr>
          </m:sub>
        </m:sSub>
      </m:oMath>
      <w:r>
        <w:t xml:space="preserve"> for UL since the BS’s UL receive power does not scale with a transmit power fraction, but rather number of active UEs and LNA biasing, which is indirectly covered by </w:t>
      </w:r>
      <m:oMath>
        <m:sSup>
          <m:sSupPr>
            <m:ctrlPr>
              <w:rPr>
                <w:rFonts w:ascii="Cambria Math" w:hAnsi="Cambria Math"/>
              </w:rPr>
            </m:ctrlPr>
          </m:sSupPr>
          <m:e>
            <m:r>
              <m:rPr/>
              <w:rPr>
                <w:rFonts w:ascii="Cambria Math" w:hAnsi="Cambria Math"/>
              </w:rPr>
              <m:t>α_a</m:t>
            </m:r>
            <m:ctrlPr>
              <w:rPr>
                <w:rFonts w:ascii="Cambria Math" w:hAnsi="Cambria Math"/>
              </w:rPr>
            </m:ctrlPr>
          </m:e>
          <m:sup>
            <m:r>
              <m:rPr/>
              <w:rPr>
                <w:rFonts w:ascii="Cambria Math" w:hAnsi="Cambria Math"/>
              </w:rPr>
              <m:t>UL</m:t>
            </m:r>
            <m:ctrlPr>
              <w:rPr>
                <w:rFonts w:ascii="Cambria Math" w:hAnsi="Cambria Math"/>
              </w:rPr>
            </m:ctrlPr>
          </m:sup>
        </m:sSup>
      </m:oMath>
      <w:r>
        <w:t xml:space="preserve"> or could be assumed constant per active Rx chain. This additive model acknowledges that an FDD BS cannot go to full sleep if either link is active, and that even “idle” UL (no UE transmitting) still requires the receiver chain to be powered (though possibly at reduced power). For accuracy, one could add a baseline term for UL idle listening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BS,UL−idle</m:t>
            </m:r>
            <m:ctrlPr>
              <w:rPr>
                <w:rFonts w:ascii="Cambria Math" w:hAnsi="Cambria Math"/>
              </w:rPr>
            </m:ctrlPr>
          </m:sub>
        </m:sSub>
      </m:oMath>
      <w:r>
        <w:t xml:space="preserve">) even when no UL data is received. However, since TR 38.864 treats UL active state separately with relative values (e.g. active UL ~4–6× deep sleep), we can map that to an effective baseline for UL reception. </w:t>
      </w:r>
    </w:p>
    <w:p w14:paraId="0250FD11">
      <w:pPr>
        <w:pStyle w:val="5"/>
        <w:rPr>
          <w:rFonts w:ascii="Times New Roman Bold Italic" w:hAnsi="Times New Roman Bold Italic" w:cs="Times New Roman Bold Italic"/>
          <w:b/>
          <w:bCs/>
          <w:i/>
          <w:iCs/>
        </w:rPr>
      </w:pPr>
      <w:r>
        <w:rPr>
          <w:rFonts w:ascii="Times New Roman Bold Italic" w:hAnsi="Times New Roman Bold Italic" w:cs="Times New Roman Bold Italic"/>
          <w:b/>
          <w:bCs/>
          <w:i/>
          <w:iCs/>
        </w:rPr>
        <w:t>Observation 1</w:t>
      </w:r>
      <w:r>
        <w:rPr>
          <w:rFonts w:hint="eastAsia" w:ascii="Times New Roman Bold Italic" w:hAnsi="Times New Roman Bold Italic" w:cs="Times New Roman Bold Italic"/>
          <w:b/>
          <w:bCs/>
          <w:i/>
          <w:iCs/>
          <w:lang w:eastAsia="zh-CN"/>
        </w:rPr>
        <w:t>5</w:t>
      </w:r>
      <w:r>
        <w:rPr>
          <w:rFonts w:ascii="Times New Roman Bold Italic" w:hAnsi="Times New Roman Bold Italic" w:cs="Times New Roman Bold Italic"/>
          <w:b/>
          <w:bCs/>
          <w:i/>
          <w:iCs/>
        </w:rPr>
        <w:t>: The existing model focuses on TDD (all reference sets in TR 38.864 are TDD). In 6G, TDD will remain prevalent for mid/high bands, but there may be renewed interest in FDD for lower bands.</w:t>
      </w:r>
    </w:p>
    <w:p w14:paraId="67AC3834">
      <w:pPr>
        <w:pStyle w:val="5"/>
      </w:pPr>
      <w:r>
        <w:t xml:space="preserve">For frame structure elements like SCS and slot length, the 5G model used “per slot” power values normalized to a nominal slot duration. In 6G, with potentially a wider range of SCS (e.g. extremely low SCS for coverage or high SCS for low-latency), it is prudent to normalize power consumption to a standard time unit (e.g. per 1 ms or per second). We propose that 6G evaluations use a uniform time base for power reporting (e.g. mW per second or Joules per second) rather than per slot, or else explicitly scale the values for the slot duration. This avoids confusion when comparing power in a 60 kHz SCS system vs a 15 kHz SCS system. In any case, the model’s scaling with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t</m:t>
            </m:r>
            <m:ctrlPr>
              <w:rPr>
                <w:rFonts w:ascii="Cambria Math" w:hAnsi="Cambria Math"/>
              </w:rPr>
            </m:ctrlPr>
          </m:sub>
        </m:sSub>
      </m:oMath>
      <w:r>
        <w:t xml:space="preserve"> inherently handles different slot structures: e.g. if a 60 kHz slot is half the duration of a 30 kHz slot, then to occupy the same absolute time fraction, </w:t>
      </w:r>
      <m:oMath>
        <m:sSub>
          <m:sSubPr>
            <m:ctrlPr>
              <w:rPr>
                <w:rFonts w:ascii="Cambria Math" w:hAnsi="Cambria Math"/>
              </w:rPr>
            </m:ctrlPr>
          </m:sSubPr>
          <m:e>
            <m:r>
              <m:rPr/>
              <w:rPr>
                <w:rFonts w:ascii="Cambria Math" w:hAnsi="Cambria Math"/>
              </w:rPr>
              <m:t>α</m:t>
            </m:r>
            <m:ctrlPr>
              <w:rPr>
                <w:rFonts w:ascii="Cambria Math" w:hAnsi="Cambria Math"/>
              </w:rPr>
            </m:ctrlPr>
          </m:e>
          <m:sub>
            <m:r>
              <m:rPr/>
              <w:rPr>
                <w:rFonts w:ascii="Cambria Math" w:hAnsi="Cambria Math"/>
              </w:rPr>
              <m:t>t</m:t>
            </m:r>
            <m:ctrlPr>
              <w:rPr>
                <w:rFonts w:ascii="Cambria Math" w:hAnsi="Cambria Math"/>
              </w:rPr>
            </m:ctrlPr>
          </m:sub>
        </m:sSub>
      </m:oMath>
      <w:r>
        <w:t xml:space="preserve"> would differ appropriately.</w:t>
      </w:r>
    </w:p>
    <w:p w14:paraId="021FF2A7">
      <w:pPr>
        <w:pStyle w:val="5"/>
      </w:pPr>
      <w:r>
        <w:rPr>
          <w:rFonts w:hint="eastAsia" w:ascii="Times New Roman Bold Italic" w:hAnsi="Times New Roman Bold Italic" w:cs="Times New Roman Bold Italic"/>
          <w:b/>
          <w:bCs/>
          <w:i/>
          <w:iCs/>
          <w:u w:val="single"/>
          <w:lang w:eastAsia="zh-CN"/>
        </w:rPr>
        <w:t>（d）</w:t>
      </w:r>
      <w:r>
        <w:rPr>
          <w:rFonts w:ascii="Times New Roman Bold Italic" w:hAnsi="Times New Roman Bold Italic" w:cs="Times New Roman Bold Italic"/>
          <w:b/>
          <w:bCs/>
          <w:i/>
          <w:iCs/>
          <w:u w:val="single"/>
        </w:rPr>
        <w:t>Additional Sleep States or Transitions:</w:t>
      </w:r>
      <w:r>
        <w:t xml:space="preserve"> We also consider introducing intermediate power states that could model emerging hardware capabilities. For example, a 6G BS might support an ultra-deep sleep (turning off even more components than the Rel-18 deep sleep, possibly enabled by novel hardware) . This could be used for light waking-up function at BS UL receiver. While the specifics are to be studied, the model can be extensible: e.g. adding a “shutdown” state where a cell is virtually off (except for a wake-up receiver or timer) with power nearly zero, but with a significant reactivation cost (seconds to minutes). This could align with on/off cell paradigms (turning off cells during very low traffic periods). In modeling terms, we would add a new row in the power state table (analogous to Table 3 in TR 38.864) with a relative power (perhaps 0.1× deep sleep or similar) and a transition time (perhaps tens of seconds). This state could be used in 6G simulations to assess the benefit of completely shutting off hardware vs cycling in and out of deep sleep. </w:t>
      </w:r>
    </w:p>
    <w:p w14:paraId="0DA12874">
      <w:pPr>
        <w:pStyle w:val="5"/>
      </w:pPr>
      <w:r>
        <w:rPr>
          <w:b/>
          <w:bCs/>
          <w:i/>
          <w:iCs/>
        </w:rPr>
        <w:t xml:space="preserve">Observation 16: If 6G BS might support an ultra-deep sleep </w:t>
      </w:r>
      <w:r>
        <w:rPr>
          <w:rFonts w:ascii="Times New Roman Bold Italic" w:hAnsi="Times New Roman Bold Italic" w:cs="Times New Roman Bold Italic"/>
          <w:b/>
          <w:bCs/>
          <w:i/>
          <w:iCs/>
        </w:rPr>
        <w:t>(turning off even more components than the Rel-18 deep sleep, possibly enabled by novel hardware) ,</w:t>
      </w:r>
      <w:r>
        <w:rPr>
          <w:b/>
          <w:bCs/>
          <w:i/>
          <w:iCs/>
        </w:rPr>
        <w:t xml:space="preserve"> which could be used for light waking-up function at BS UL receiver.</w:t>
      </w:r>
    </w:p>
    <w:p w14:paraId="2120A59A">
      <w:pPr>
        <w:pStyle w:val="5"/>
      </w:pPr>
      <w:r>
        <w:rPr>
          <w:rFonts w:hint="eastAsia" w:ascii="Times New Roman Bold Italic" w:hAnsi="Times New Roman Bold Italic" w:cs="Times New Roman Bold Italic"/>
          <w:b/>
          <w:bCs/>
          <w:i/>
          <w:iCs/>
          <w:u w:val="single"/>
          <w:lang w:eastAsia="zh-CN"/>
        </w:rPr>
        <w:t>（e）</w:t>
      </w:r>
      <w:r>
        <w:rPr>
          <w:rFonts w:ascii="Times New Roman Bold Italic" w:hAnsi="Times New Roman Bold Italic" w:cs="Times New Roman Bold Italic"/>
          <w:b/>
          <w:bCs/>
          <w:i/>
          <w:iCs/>
          <w:u w:val="single"/>
        </w:rPr>
        <w:t xml:space="preserve">Illustrative Example: </w:t>
      </w:r>
      <w:r>
        <w:t xml:space="preserve">To demonstrate the extended model, consider a 6G macro cell operating with a 20 MHz carrier in low load. Suppose out of 10 ms frames, on average 2 ms contain downlink data and 1 ms contain uplink (rest of the time the cell is empty and can micro-sleep or deep-sleep). In the busiest DL subframe, only 50% of symbols carry traffic (others are blanked), and only half the bandwidth (10 MHz of the 20 MHz) is scheduled. The BS also dynamically mutes half of its MIMO transmit streams (using only 16 of 32 antennas) since traffic is light. Plugging in: </w:t>
      </w:r>
      <m:oMath>
        <m:sSup>
          <m:sSupPr>
            <m:ctrlPr>
              <w:rPr>
                <w:rFonts w:ascii="Cambria Math" w:hAnsi="Cambria Math"/>
              </w:rPr>
            </m:ctrlPr>
          </m:sSupPr>
          <m:e>
            <m:r>
              <m:rPr/>
              <w:rPr>
                <w:rFonts w:ascii="Cambria Math" w:hAnsi="Cambria Math"/>
              </w:rPr>
              <m:t>α_t</m:t>
            </m:r>
            <m:ctrlPr>
              <w:rPr>
                <w:rFonts w:ascii="Cambria Math" w:hAnsi="Cambria Math"/>
              </w:rPr>
            </m:ctrlPr>
          </m:e>
          <m:sup>
            <m:r>
              <m:rPr/>
              <w:rPr>
                <w:rFonts w:ascii="Cambria Math" w:hAnsi="Cambria Math"/>
              </w:rPr>
              <m:t>DL</m:t>
            </m:r>
            <m:ctrlPr>
              <w:rPr>
                <w:rFonts w:ascii="Cambria Math" w:hAnsi="Cambria Math"/>
              </w:rPr>
            </m:ctrlPr>
          </m:sup>
        </m:sSup>
        <m:r>
          <m:rPr/>
          <w:rPr>
            <w:rFonts w:ascii="Cambria Math" w:hAnsi="Cambria Math"/>
          </w:rPr>
          <m:t>=0</m:t>
        </m:r>
        <m:r>
          <m:rPr/>
          <w:rPr>
            <w:rFonts w:ascii="DejaVu Math TeX Gyre" w:hAnsi="DejaVu Math TeX Gyre"/>
          </w:rPr>
          <m:t>.</m:t>
        </m:r>
        <m:r>
          <m:rPr/>
          <w:rPr>
            <w:rFonts w:ascii="Cambria Math" w:hAnsi="Cambria Math"/>
          </w:rPr>
          <m:t>5</m:t>
        </m:r>
      </m:oMath>
      <w:r>
        <w:t xml:space="preserve">, </w:t>
      </w:r>
      <m:oMath>
        <m:sSup>
          <m:sSupPr>
            <m:ctrlPr>
              <w:rPr>
                <w:rFonts w:ascii="Cambria Math" w:hAnsi="Cambria Math"/>
              </w:rPr>
            </m:ctrlPr>
          </m:sSupPr>
          <m:e>
            <m:r>
              <m:rPr/>
              <w:rPr>
                <w:rFonts w:ascii="Cambria Math" w:hAnsi="Cambria Math"/>
              </w:rPr>
              <m:t>α_f</m:t>
            </m:r>
            <m:ctrlPr>
              <w:rPr>
                <w:rFonts w:ascii="Cambria Math" w:hAnsi="Cambria Math"/>
              </w:rPr>
            </m:ctrlPr>
          </m:e>
          <m:sup>
            <m:r>
              <m:rPr/>
              <w:rPr>
                <w:rFonts w:ascii="Cambria Math" w:hAnsi="Cambria Math"/>
              </w:rPr>
              <m:t>DL</m:t>
            </m:r>
            <m:ctrlPr>
              <w:rPr>
                <w:rFonts w:ascii="Cambria Math" w:hAnsi="Cambria Math"/>
              </w:rPr>
            </m:ctrlPr>
          </m:sup>
        </m:sSup>
        <m:r>
          <m:rPr/>
          <w:rPr>
            <w:rFonts w:ascii="Cambria Math" w:hAnsi="Cambria Math"/>
          </w:rPr>
          <m:t>=0</m:t>
        </m:r>
        <m:r>
          <m:rPr/>
          <w:rPr>
            <w:rFonts w:ascii="DejaVu Math TeX Gyre" w:hAnsi="DejaVu Math TeX Gyre"/>
          </w:rPr>
          <m:t>.</m:t>
        </m:r>
        <m:r>
          <m:rPr/>
          <w:rPr>
            <w:rFonts w:ascii="Cambria Math" w:hAnsi="Cambria Math"/>
          </w:rPr>
          <m:t>5</m:t>
        </m:r>
      </m:oMath>
      <w:r>
        <w:t xml:space="preserve">, </w:t>
      </w:r>
      <m:oMath>
        <m:sSup>
          <m:sSupPr>
            <m:ctrlPr>
              <w:rPr>
                <w:rFonts w:ascii="Cambria Math" w:hAnsi="Cambria Math"/>
              </w:rPr>
            </m:ctrlPr>
          </m:sSupPr>
          <m:e>
            <m:r>
              <m:rPr/>
              <w:rPr>
                <w:rFonts w:ascii="Cambria Math" w:hAnsi="Cambria Math"/>
              </w:rPr>
              <m:t>α_a</m:t>
            </m:r>
            <m:ctrlPr>
              <w:rPr>
                <w:rFonts w:ascii="Cambria Math" w:hAnsi="Cambria Math"/>
              </w:rPr>
            </m:ctrlPr>
          </m:e>
          <m:sup>
            <m:r>
              <m:rPr/>
              <w:rPr>
                <w:rFonts w:ascii="Cambria Math" w:hAnsi="Cambria Math"/>
              </w:rPr>
              <m:t>DL</m:t>
            </m:r>
            <m:ctrlPr>
              <w:rPr>
                <w:rFonts w:ascii="Cambria Math" w:hAnsi="Cambria Math"/>
              </w:rPr>
            </m:ctrlPr>
          </m:sup>
        </m:sSup>
        <m:r>
          <m:rPr/>
          <w:rPr>
            <w:rFonts w:ascii="Cambria Math" w:hAnsi="Cambria Math"/>
          </w:rPr>
          <m:t>=0</m:t>
        </m:r>
        <m:r>
          <m:rPr/>
          <w:rPr>
            <w:rFonts w:ascii="DejaVu Math TeX Gyre" w:hAnsi="DejaVu Math TeX Gyre"/>
          </w:rPr>
          <m:t>.</m:t>
        </m:r>
        <m:r>
          <m:rPr/>
          <w:rPr>
            <w:rFonts w:ascii="Cambria Math" w:hAnsi="Cambria Math"/>
          </w:rPr>
          <m:t>5</m:t>
        </m:r>
      </m:oMath>
      <w:r>
        <w:t xml:space="preserve">, </w:t>
      </w:r>
      <m:oMath>
        <m:sSup>
          <m:sSupPr>
            <m:ctrlPr>
              <w:rPr>
                <w:rFonts w:ascii="Cambria Math" w:hAnsi="Cambria Math"/>
              </w:rPr>
            </m:ctrlPr>
          </m:sSupPr>
          <m:e>
            <m:r>
              <m:rPr/>
              <w:rPr>
                <w:rFonts w:ascii="Cambria Math" w:hAnsi="Cambria Math"/>
              </w:rPr>
              <m:t>α_p</m:t>
            </m:r>
            <m:ctrlPr>
              <w:rPr>
                <w:rFonts w:ascii="Cambria Math" w:hAnsi="Cambria Math"/>
              </w:rPr>
            </m:ctrlPr>
          </m:e>
          <m:sup>
            <m:r>
              <m:rPr/>
              <w:rPr>
                <w:rFonts w:ascii="Cambria Math" w:hAnsi="Cambria Math"/>
              </w:rPr>
              <m:t>DL</m:t>
            </m:r>
            <m:ctrlPr>
              <w:rPr>
                <w:rFonts w:ascii="Cambria Math" w:hAnsi="Cambria Math"/>
              </w:rPr>
            </m:ctrlPr>
          </m:sup>
        </m:sSup>
      </m:oMath>
      <w:r>
        <w:t xml:space="preserve"> might be, say, 0.8 (if not all transmissions use full power). Then in an active DL slot</w:t>
      </w:r>
    </w:p>
    <w:p w14:paraId="45B91E3E">
      <w:pPr>
        <w:pStyle w:val="5"/>
        <w:jc w:val="center"/>
      </w:pPr>
      <m:oMathPara>
        <m:oMath>
          <m:sSubSup>
            <m:sSubSupPr>
              <m:ctrlPr>
                <w:rPr>
                  <w:rFonts w:ascii="DejaVu Math TeX Gyre" w:hAnsi="Cambria Math"/>
                  <w:i/>
                </w:rPr>
              </m:ctrlPr>
            </m:sSubSupPr>
            <m:e>
              <m:r>
                <m:rPr/>
                <w:rPr>
                  <w:rFonts w:ascii="DejaVu Math TeX Gyre"/>
                </w:rPr>
                <m:t>P</m:t>
              </m:r>
              <m:ctrlPr>
                <w:rPr>
                  <w:rFonts w:ascii="DejaVu Math TeX Gyre" w:hAnsi="Cambria Math"/>
                  <w:i/>
                </w:rPr>
              </m:ctrlPr>
            </m:e>
            <m:sub>
              <m:r>
                <m:rPr/>
                <w:rPr>
                  <w:rFonts w:ascii="DejaVu Math TeX Gyre"/>
                </w:rPr>
                <m:t>BS</m:t>
              </m:r>
              <m:ctrlPr>
                <w:rPr>
                  <w:rFonts w:ascii="DejaVu Math TeX Gyre" w:hAnsi="Cambria Math"/>
                  <w:i/>
                </w:rPr>
              </m:ctrlPr>
            </m:sub>
            <m:sup>
              <m:r>
                <m:rPr/>
                <w:rPr>
                  <w:rFonts w:ascii="DejaVu Math TeX Gyre"/>
                </w:rPr>
                <m:t>DL</m:t>
              </m:r>
              <m:ctrlPr>
                <w:rPr>
                  <w:rFonts w:ascii="DejaVu Math TeX Gyre" w:hAnsi="Cambria Math"/>
                  <w:i/>
                </w:rPr>
              </m:ctrlPr>
            </m:sup>
          </m:sSubSup>
          <m:r>
            <m:rPr/>
            <w:rPr>
              <w:rFonts w:ascii="DejaVu Math TeX Gyre" w:hAnsi="DejaVu Math TeX Gyre"/>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deep</m:t>
              </m:r>
              <m:ctrlPr>
                <w:rPr>
                  <w:rFonts w:ascii="Cambria Math" w:hAnsi="Cambria Math"/>
                </w:rPr>
              </m:ctrlPr>
            </m:sub>
          </m:sSub>
          <m:r>
            <m:rPr/>
            <w:rPr>
              <w:rFonts w:ascii="Cambria Math" w:hAnsi="Cambria Math"/>
            </w:rPr>
            <m:t>+0</m:t>
          </m:r>
          <m:r>
            <m:rPr/>
            <w:rPr>
              <w:rFonts w:ascii="DejaVu Math TeX Gyre" w:hAnsi="DejaVu Math TeX Gyre"/>
            </w:rPr>
            <m:t>.</m:t>
          </m:r>
          <m:r>
            <m:rPr/>
            <w:rPr>
              <w:rFonts w:ascii="Cambria Math" w:hAnsi="Cambria Math"/>
            </w:rPr>
            <m:t>5</m:t>
          </m:r>
          <m:r>
            <m:rPr/>
            <w:rPr>
              <w:rFonts w:ascii="DejaVu Math TeX Gyre" w:hAnsi="DejaVu Math TeX Gyre"/>
            </w:rPr>
            <m:t>∙</m:t>
          </m:r>
          <m:r>
            <m:rPr/>
            <w:rPr>
              <w:rFonts w:ascii="Cambria Math" w:hAnsi="Cambria Math"/>
            </w:rPr>
            <m:t>0</m:t>
          </m:r>
          <m:r>
            <m:rPr/>
            <w:rPr>
              <w:rFonts w:ascii="DejaVu Math TeX Gyre" w:hAnsi="DejaVu Math TeX Gyre"/>
            </w:rPr>
            <m:t>.</m:t>
          </m:r>
          <m:r>
            <m:rPr/>
            <w:rPr>
              <w:rFonts w:ascii="Cambria Math" w:hAnsi="Cambria Math"/>
            </w:rPr>
            <m:t>5</m:t>
          </m:r>
          <m:r>
            <m:rPr/>
            <w:rPr>
              <w:rFonts w:ascii="DejaVu Math TeX Gyre" w:hAnsi="DejaVu Math TeX Gyre"/>
            </w:rPr>
            <m:t>∙</m:t>
          </m:r>
          <m:r>
            <m:rPr/>
            <w:rPr>
              <w:rFonts w:ascii="Cambria Math" w:hAnsi="Cambria Math"/>
            </w:rPr>
            <m:t>0</m:t>
          </m:r>
          <m:r>
            <m:rPr/>
            <w:rPr>
              <w:rFonts w:ascii="DejaVu Math TeX Gyre" w:hAnsi="DejaVu Math TeX Gyre"/>
            </w:rPr>
            <m:t>.</m:t>
          </m:r>
          <m:r>
            <m:rPr/>
            <w:rPr>
              <w:rFonts w:ascii="Cambria Math" w:hAnsi="Cambria Math"/>
            </w:rPr>
            <m:t>5</m:t>
          </m:r>
          <m:r>
            <m:rPr/>
            <w:rPr>
              <w:rFonts w:ascii="DejaVu Math TeX Gyre" w:hAnsi="DejaVu Math TeX Gyre"/>
            </w:rPr>
            <m:t>∙</m:t>
          </m:r>
          <m:r>
            <m:rPr/>
            <w:rPr>
              <w:rFonts w:ascii="Cambria Math" w:hAnsi="Cambria Math"/>
            </w:rPr>
            <m:t>0</m:t>
          </m:r>
          <m:r>
            <m:rPr/>
            <w:rPr>
              <w:rFonts w:ascii="DejaVu Math TeX Gyre" w:hAnsi="DejaVu Math TeX Gyre"/>
            </w:rPr>
            <m:t>.</m:t>
          </m:r>
          <m:r>
            <m:rPr/>
            <w:rPr>
              <w:rFonts w:ascii="Cambria Math" w:hAnsi="Cambria Math"/>
            </w:rPr>
            <m:t>8</m:t>
          </m:r>
          <m:r>
            <m:rPr/>
            <w:rPr>
              <w:rFonts w:ascii="DejaVu Math TeX Gyre" w:hAnsi="DejaVu Math TeX Gyre"/>
            </w:rPr>
            <m:t>∙</m:t>
          </m:r>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DL(full)</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deep</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deep</m:t>
              </m:r>
              <m:ctrlPr>
                <w:rPr>
                  <w:rFonts w:ascii="Cambria Math" w:hAnsi="Cambria Math"/>
                </w:rPr>
              </m:ctrlPr>
            </m:sub>
          </m:sSub>
          <m:r>
            <m:rPr/>
            <w:rPr>
              <w:rFonts w:ascii="Cambria Math" w:hAnsi="Cambria Math"/>
            </w:rPr>
            <m:t>+0</m:t>
          </m:r>
          <m:r>
            <m:rPr/>
            <w:rPr>
              <w:rFonts w:ascii="DejaVu Math TeX Gyre" w:hAnsi="DejaVu Math TeX Gyre"/>
            </w:rPr>
            <m:t>.</m:t>
          </m:r>
          <m:r>
            <m:rPr/>
            <w:rPr>
              <w:rFonts w:ascii="Cambria Math" w:hAnsi="Cambria Math"/>
            </w:rPr>
            <m:t>1</m:t>
          </m:r>
          <m:r>
            <m:rPr/>
            <w:rPr>
              <w:rFonts w:ascii="DejaVu Math TeX Gyre" w:hAnsi="DejaVu Math TeX Gyre"/>
            </w:rPr>
            <m:t>∙</m:t>
          </m:r>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DL(full)</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deep</m:t>
              </m:r>
              <m:ctrlPr>
                <w:rPr>
                  <w:rFonts w:ascii="Cambria Math" w:hAnsi="Cambria Math"/>
                </w:rPr>
              </m:ctrlPr>
            </m:sub>
          </m:sSub>
          <m:r>
            <m:rPr/>
            <w:rPr>
              <w:rFonts w:ascii="Cambria Math" w:hAnsi="Cambria Math"/>
            </w:rPr>
            <m:t>)</m:t>
          </m:r>
        </m:oMath>
      </m:oMathPara>
    </w:p>
    <w:p w14:paraId="1A51A022">
      <w:pPr>
        <w:pStyle w:val="5"/>
      </w:pPr>
      <w:r>
        <w:t xml:space="preserve"> If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DL(full)</m:t>
            </m:r>
            <m:ctrlPr>
              <w:rPr>
                <w:rFonts w:ascii="Cambria Math" w:hAnsi="Cambria Math"/>
              </w:rPr>
            </m:ctrlPr>
          </m:sub>
        </m:sSub>
      </m:oMath>
      <w:r>
        <w:t xml:space="preserve"> (for 32Tx, 20 MHz) corresponds to, say, 26× deep sleep power (per TR 38.864 Set 2)[8]. During the other idle slots, the BS might be in micro-sleep (e.g. 5× deep) or deep sleep (1×). Over the 10 ms frame, the average could be calculated. This demonstrates how the model quantifies the energy benefit of partial resource use: in this scenario, power per active slot is greatly reduced relative to a fully loaded slot (from 26× down to ~3.5× baseline). </w:t>
      </w:r>
    </w:p>
    <w:bookmarkEnd w:id="3"/>
    <w:p w14:paraId="76561C52">
      <w:pPr>
        <w:pStyle w:val="5"/>
        <w:rPr>
          <w:rFonts w:ascii="Times New Roman Bold Italic" w:hAnsi="Times New Roman Bold Italic" w:cs="Times New Roman Bold Italic"/>
          <w:b/>
          <w:bCs/>
          <w:i/>
          <w:iCs/>
          <w:sz w:val="22"/>
          <w:szCs w:val="22"/>
        </w:rPr>
      </w:pPr>
    </w:p>
    <w:p w14:paraId="54EB47FE">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Proposal 3:  To enhance power consumption model from TR 38.864 to accommodate new 6G design features and deployment scenarios, ensuring the model remains accurate and flexible for 6G BS power consumption evaluation.</w:t>
      </w:r>
    </w:p>
    <w:p w14:paraId="204A332A">
      <w:pPr>
        <w:pStyle w:val="5"/>
        <w:rPr>
          <w:rFonts w:ascii="Times New Roman Bold Italic" w:hAnsi="Times New Roman Bold Italic" w:cs="Times New Roman Bold Italic"/>
          <w:b/>
          <w:bCs/>
          <w:i/>
          <w:iCs/>
          <w:sz w:val="22"/>
          <w:szCs w:val="22"/>
          <w:lang w:eastAsia="zh-CN"/>
        </w:rPr>
      </w:pPr>
      <w:r>
        <w:rPr>
          <w:rFonts w:hint="eastAsia" w:ascii="Times New Roman Bold Italic" w:hAnsi="Times New Roman Bold Italic" w:cs="Times New Roman Bold Italic"/>
          <w:b/>
          <w:bCs/>
          <w:i/>
          <w:iCs/>
          <w:sz w:val="22"/>
          <w:szCs w:val="22"/>
          <w:lang w:eastAsia="zh-CN"/>
        </w:rPr>
        <w:t xml:space="preserve">Proposal </w:t>
      </w:r>
      <w:r>
        <w:rPr>
          <w:rFonts w:ascii="Times New Roman Bold Italic" w:hAnsi="Times New Roman Bold Italic" w:cs="Times New Roman Bold Italic"/>
          <w:b/>
          <w:bCs/>
          <w:i/>
          <w:iCs/>
          <w:sz w:val="22"/>
          <w:szCs w:val="22"/>
          <w:lang w:eastAsia="zh-CN"/>
        </w:rPr>
        <w:t>4</w:t>
      </w:r>
      <w:r>
        <w:rPr>
          <w:rFonts w:hint="eastAsia" w:ascii="Times New Roman Bold Italic" w:hAnsi="Times New Roman Bold Italic" w:cs="Times New Roman Bold Italic"/>
          <w:b/>
          <w:bCs/>
          <w:i/>
          <w:iCs/>
          <w:sz w:val="22"/>
          <w:szCs w:val="22"/>
          <w:lang w:eastAsia="zh-CN"/>
        </w:rPr>
        <w:t xml:space="preserve">：Consider below </w:t>
      </w:r>
      <w:r>
        <w:rPr>
          <w:rFonts w:ascii="Times New Roman Bold Italic" w:hAnsi="Times New Roman Bold Italic" w:cs="Times New Roman Bold Italic"/>
          <w:b/>
          <w:bCs/>
          <w:i/>
          <w:iCs/>
          <w:sz w:val="22"/>
          <w:szCs w:val="22"/>
        </w:rPr>
        <w:t>new 6G design features and deployment scenarios</w:t>
      </w:r>
      <w:r>
        <w:rPr>
          <w:rFonts w:hint="eastAsia" w:ascii="Times New Roman Bold Italic" w:hAnsi="Times New Roman Bold Italic" w:cs="Times New Roman Bold Italic"/>
          <w:b/>
          <w:bCs/>
          <w:i/>
          <w:iCs/>
          <w:sz w:val="22"/>
          <w:szCs w:val="22"/>
          <w:lang w:eastAsia="zh-CN"/>
        </w:rPr>
        <w:t xml:space="preserve"> used</w:t>
      </w:r>
      <w:r>
        <w:rPr>
          <w:rFonts w:ascii="Times New Roman Bold Italic" w:hAnsi="Times New Roman Bold Italic" w:cs="Times New Roman Bold Italic"/>
          <w:b/>
          <w:bCs/>
          <w:i/>
          <w:iCs/>
          <w:sz w:val="22"/>
          <w:szCs w:val="22"/>
          <w:lang w:eastAsia="zh-CN"/>
        </w:rPr>
        <w:t xml:space="preserve"> for 6GR BS power consumption model</w:t>
      </w:r>
    </w:p>
    <w:p w14:paraId="4AB86010">
      <w:pPr>
        <w:pStyle w:val="5"/>
        <w:numPr>
          <w:ilvl w:val="0"/>
          <w:numId w:val="17"/>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rPr>
        <w:t>Explicitly include system bandwidth for different UE devices (e.g., 3MHz, 5MHz.) as a parameter in the BS power model, rather than implicitly assuming a fixed reference bandwidth</w:t>
      </w:r>
    </w:p>
    <w:p w14:paraId="740CEF1D">
      <w:pPr>
        <w:pStyle w:val="5"/>
        <w:numPr>
          <w:ilvl w:val="0"/>
          <w:numId w:val="17"/>
        </w:numPr>
        <w:rPr>
          <w:rFonts w:ascii="Times New Roman Bold Italic" w:hAnsi="Times New Roman Bold Italic" w:cs="Times New Roman Bold Italic"/>
          <w:b/>
          <w:bCs/>
          <w:i/>
          <w:iCs/>
          <w:sz w:val="22"/>
          <w:szCs w:val="22"/>
          <w:lang w:eastAsia="zh-CN"/>
        </w:rPr>
      </w:pPr>
      <w:r>
        <w:rPr>
          <w:rFonts w:hint="eastAsia" w:ascii="Times New Roman Bold Italic" w:hAnsi="Times New Roman Bold Italic" w:cs="Times New Roman Bold Italic"/>
          <w:b/>
          <w:bCs/>
          <w:i/>
          <w:iCs/>
          <w:sz w:val="22"/>
          <w:szCs w:val="22"/>
          <w:lang w:eastAsia="zh-CN"/>
        </w:rPr>
        <w:t>Consider</w:t>
      </w:r>
      <w:r>
        <w:rPr>
          <w:rFonts w:ascii="Times New Roman Bold Italic" w:hAnsi="Times New Roman Bold Italic" w:cs="Times New Roman Bold Italic"/>
          <w:b/>
          <w:bCs/>
          <w:i/>
          <w:iCs/>
          <w:sz w:val="22"/>
          <w:szCs w:val="22"/>
        </w:rPr>
        <w:t xml:space="preserve"> waveform</w:t>
      </w:r>
      <w:r>
        <w:rPr>
          <w:rFonts w:hint="eastAsia" w:ascii="Times New Roman Bold Italic" w:hAnsi="Times New Roman Bold Italic" w:cs="Times New Roman Bold Italic"/>
          <w:b/>
          <w:bCs/>
          <w:i/>
          <w:iCs/>
          <w:sz w:val="22"/>
          <w:szCs w:val="22"/>
          <w:lang w:eastAsia="zh-CN"/>
        </w:rPr>
        <w:t xml:space="preserve"> switching</w:t>
      </w:r>
      <w:r>
        <w:rPr>
          <w:rFonts w:ascii="Times New Roman Bold Italic" w:hAnsi="Times New Roman Bold Italic" w:cs="Times New Roman Bold Italic"/>
          <w:b/>
          <w:bCs/>
          <w:i/>
          <w:iCs/>
          <w:sz w:val="22"/>
          <w:szCs w:val="22"/>
        </w:rPr>
        <w:t xml:space="preserve"> or variants (e.g. spectrally localized or low-PAPR waveform) for</w:t>
      </w:r>
      <w:r>
        <w:rPr>
          <w:rFonts w:hint="eastAsia" w:ascii="Times New Roman Bold Italic" w:hAnsi="Times New Roman Bold Italic" w:cs="Times New Roman Bold Italic"/>
          <w:b/>
          <w:bCs/>
          <w:i/>
          <w:iCs/>
          <w:sz w:val="22"/>
          <w:szCs w:val="22"/>
          <w:lang w:eastAsia="zh-CN"/>
        </w:rPr>
        <w:t xml:space="preserve"> BS</w:t>
      </w:r>
      <w:r>
        <w:rPr>
          <w:rFonts w:ascii="Times New Roman Bold Italic" w:hAnsi="Times New Roman Bold Italic" w:cs="Times New Roman Bold Italic"/>
          <w:b/>
          <w:bCs/>
          <w:i/>
          <w:iCs/>
          <w:sz w:val="22"/>
          <w:szCs w:val="22"/>
        </w:rPr>
        <w:t xml:space="preserve"> </w:t>
      </w:r>
      <w:r>
        <w:rPr>
          <w:rFonts w:hint="eastAsia" w:ascii="Times New Roman Bold Italic" w:hAnsi="Times New Roman Bold Italic" w:cs="Times New Roman Bold Italic"/>
          <w:b/>
          <w:bCs/>
          <w:i/>
          <w:iCs/>
          <w:sz w:val="22"/>
          <w:szCs w:val="22"/>
          <w:lang w:eastAsia="zh-CN"/>
        </w:rPr>
        <w:t>power model</w:t>
      </w:r>
    </w:p>
    <w:p w14:paraId="21240155">
      <w:pPr>
        <w:pStyle w:val="5"/>
        <w:numPr>
          <w:ilvl w:val="0"/>
          <w:numId w:val="17"/>
        </w:numPr>
        <w:rPr>
          <w:rFonts w:ascii="Times New Roman Bold Italic" w:hAnsi="Times New Roman Bold Italic" w:cs="Times New Roman Bold Italic"/>
          <w:b/>
          <w:bCs/>
          <w:i/>
          <w:iCs/>
          <w:sz w:val="22"/>
          <w:szCs w:val="22"/>
          <w:lang w:eastAsia="zh-CN"/>
        </w:rPr>
      </w:pPr>
      <w:r>
        <w:rPr>
          <w:rFonts w:hint="eastAsia" w:ascii="Times New Roman Bold Italic" w:hAnsi="Times New Roman Bold Italic" w:cs="Times New Roman Bold Italic"/>
          <w:b/>
          <w:bCs/>
          <w:i/>
          <w:iCs/>
          <w:sz w:val="22"/>
          <w:szCs w:val="22"/>
          <w:lang w:eastAsia="zh-CN"/>
        </w:rPr>
        <w:t xml:space="preserve">TDD/FDD frame structures should </w:t>
      </w:r>
      <w:r>
        <w:rPr>
          <w:rFonts w:ascii="Times New Roman Bold Italic" w:hAnsi="Times New Roman Bold Italic" w:cs="Times New Roman Bold Italic"/>
          <w:b/>
          <w:bCs/>
          <w:i/>
          <w:iCs/>
          <w:sz w:val="22"/>
          <w:szCs w:val="22"/>
          <w:lang w:eastAsia="zh-CN"/>
        </w:rPr>
        <w:t>be considered for BS power model with an optional</w:t>
      </w:r>
      <w:r>
        <w:rPr>
          <w:rFonts w:ascii="Times New Roman Bold Italic" w:hAnsi="Times New Roman Bold Italic" w:cs="Times New Roman Bold Italic"/>
          <w:b/>
          <w:bCs/>
          <w:i/>
          <w:iCs/>
          <w:sz w:val="22"/>
          <w:szCs w:val="22"/>
        </w:rPr>
        <w:t xml:space="preserve"> uniform time base for power reporting (e.g. mW per second or Joules per second) rather than per slot</w:t>
      </w:r>
    </w:p>
    <w:p w14:paraId="071DF938">
      <w:pPr>
        <w:pStyle w:val="5"/>
        <w:numPr>
          <w:ilvl w:val="0"/>
          <w:numId w:val="17"/>
        </w:numPr>
        <w:rPr>
          <w:rFonts w:ascii="Times New Roman Bold Italic" w:hAnsi="Times New Roman Bold Italic" w:cs="Times New Roman Bold Italic"/>
          <w:b/>
          <w:bCs/>
          <w:i/>
          <w:iCs/>
          <w:sz w:val="22"/>
          <w:szCs w:val="22"/>
          <w:lang w:eastAsia="zh-CN"/>
        </w:rPr>
      </w:pPr>
      <w:r>
        <w:rPr>
          <w:b/>
          <w:bCs/>
          <w:i/>
          <w:iCs/>
          <w:sz w:val="22"/>
          <w:szCs w:val="22"/>
        </w:rPr>
        <w:t xml:space="preserve">Ultra-deep sleep </w:t>
      </w:r>
      <w:r>
        <w:rPr>
          <w:rFonts w:ascii="Times New Roman Bold Italic" w:hAnsi="Times New Roman Bold Italic" w:cs="Times New Roman Bold Italic"/>
          <w:b/>
          <w:bCs/>
          <w:i/>
          <w:iCs/>
          <w:sz w:val="22"/>
          <w:szCs w:val="22"/>
        </w:rPr>
        <w:t>(e.g., turning off even more components than the Rel-18 deep sleep, possibly enabled by novel hardware) consideration for BS power model</w:t>
      </w:r>
    </w:p>
    <w:p w14:paraId="5302CE1D">
      <w:pPr>
        <w:pStyle w:val="5"/>
        <w:numPr>
          <w:ilvl w:val="0"/>
          <w:numId w:val="17"/>
        </w:numPr>
        <w:rPr>
          <w:rFonts w:ascii="Times New Roman Bold Italic" w:hAnsi="Times New Roman Bold Italic" w:cs="Times New Roman Bold Italic"/>
          <w:b/>
          <w:bCs/>
          <w:i/>
          <w:iCs/>
          <w:sz w:val="22"/>
          <w:szCs w:val="22"/>
        </w:rPr>
      </w:pPr>
      <w:r>
        <w:rPr>
          <w:rFonts w:hint="eastAsia" w:ascii="Times New Roman Bold Italic" w:hAnsi="Times New Roman Bold Italic" w:cs="Times New Roman Bold Italic"/>
          <w:b/>
          <w:bCs/>
          <w:i/>
          <w:iCs/>
          <w:sz w:val="22"/>
          <w:szCs w:val="22"/>
          <w:lang w:eastAsia="zh-CN"/>
        </w:rPr>
        <w:t>How</w:t>
      </w:r>
      <w:r>
        <w:rPr>
          <w:rFonts w:ascii="Times New Roman Bold Italic" w:hAnsi="Times New Roman Bold Italic" w:cs="Times New Roman Bold Italic"/>
          <w:b/>
          <w:bCs/>
          <w:i/>
          <w:iCs/>
          <w:sz w:val="22"/>
          <w:szCs w:val="22"/>
          <w:lang w:eastAsia="zh-CN"/>
        </w:rPr>
        <w:t xml:space="preserve"> to consider BS power model in FR3</w:t>
      </w:r>
    </w:p>
    <w:p w14:paraId="17072E1D">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Proposal 5: If u</w:t>
      </w:r>
      <w:r>
        <w:rPr>
          <w:b/>
          <w:bCs/>
          <w:i/>
          <w:iCs/>
          <w:sz w:val="22"/>
          <w:szCs w:val="22"/>
        </w:rPr>
        <w:t>ltra-deep sleep being introduced for 6G BS power model, study relative power consumption/transition time with that of deep sleep model by TR 38.864.</w:t>
      </w:r>
    </w:p>
    <w:p w14:paraId="61C185ED">
      <w:pPr>
        <w:pStyle w:val="5"/>
        <w:rPr>
          <w:rFonts w:ascii="Times New Roman Bold Italic" w:hAnsi="Times New Roman Bold Italic" w:cs="Times New Roman Bold Italic"/>
          <w:b/>
          <w:bCs/>
          <w:i/>
          <w:iCs/>
          <w:sz w:val="22"/>
          <w:szCs w:val="22"/>
        </w:rPr>
      </w:pPr>
    </w:p>
    <w:p w14:paraId="3DC4B4AE">
      <w:pPr>
        <w:pStyle w:val="3"/>
        <w:rPr>
          <w:lang w:eastAsia="zh-CN"/>
        </w:rPr>
      </w:pPr>
      <w:r>
        <w:rPr>
          <w:lang w:eastAsia="zh-CN"/>
        </w:rPr>
        <w:t xml:space="preserve"> </w:t>
      </w:r>
      <w:r>
        <w:rPr>
          <w:szCs w:val="24"/>
        </w:rPr>
        <w:t xml:space="preserve">6G </w:t>
      </w:r>
      <w:r>
        <w:rPr>
          <w:rFonts w:hint="eastAsia"/>
          <w:szCs w:val="24"/>
          <w:lang w:eastAsia="zh-CN"/>
        </w:rPr>
        <w:t>UE considerations</w:t>
      </w:r>
    </w:p>
    <w:p w14:paraId="1E308E1F">
      <w:pPr>
        <w:pStyle w:val="4"/>
        <w:tabs>
          <w:tab w:val="clear" w:pos="432"/>
        </w:tabs>
      </w:pPr>
      <w:bookmarkStart w:id="4" w:name="X39fb9c378e9d3cc2d3cad514a885e2d715f22f9"/>
      <w:r>
        <w:t xml:space="preserve"> Overview of existing NR UE power models</w:t>
      </w:r>
    </w:p>
    <w:p w14:paraId="09F582AF">
      <w:pPr>
        <w:pStyle w:val="83"/>
      </w:pPr>
      <w:r>
        <w:t>UE power consumption in NR has been studied in several 3GPP technical reports, notably TR 38.840 (Release 16, UE power saving study) and subsequent studies for new UE types: TR 38.875 (Release 17 Reduced Capability NR devices, a.k.a. NR Light or RedCap), TR 38.865 (Release 18 further RedCap enhancements), and TR 38.869 (Release 18 study on Low-Power Wake-Up Signal/Receiver, LP-WUS/WUR)[6][7][8]. Across these documents, a common modeling structure emerges: UEs have distinct power states (e.g. RRC_Connected active, RRC_Idle/Inactive with various DRX cycles, sleep/off states), and power consumption is modeled as an average over cycles of activity and dormancy Unlike base stations, a UE’s power draw is heavily dictated by duty cycling (i.e. how often it wakes to transmit/receive) since UEs are battery-powered and often inactive. All TRs therefore focus on mechanisms to maximize the UE’s sleep time without missing required network signals.</w:t>
      </w:r>
    </w:p>
    <w:p w14:paraId="698D31B9">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Observation 17: From TR 38.840/865/869/875, it can be observed that power consumption is modeled as an average over cycles of activity and dormancy, and a UE’s power draw is heavily dictated by duty cycling with different RRC states since UEs are battery-powered and often inactive.</w:t>
      </w:r>
    </w:p>
    <w:p w14:paraId="52779486">
      <w:pPr>
        <w:pStyle w:val="5"/>
      </w:pPr>
      <w:r>
        <w:rPr>
          <w:b/>
          <w:bCs/>
        </w:rPr>
        <w:t>TR 38.840 (UE Power Saving in NR):</w:t>
      </w:r>
      <w:r>
        <w:t xml:space="preserve"> This foundational study (Rel-16) defined a baseline UE power model mainly for a typical eMBB-capable smartphone-class device. The model considered components such as RF transceivers (for multiple MIMO layers), baseband processing, and platform power, and looked at how features like discontinuous reception (DRX), bandwidth adaptation (bandwidth part switching), and cross-slot scheduling affect power[6][9]. The TR 38.840 evaluations often used a slot-averaged power approach: for instance, a certain combination of downlink control (PDCCH), data (PDSCH), uplink control (PUCCH), etc., in a slot yields a specific power consumption, and different traffic patterns (web browsing, FTP download, etc.) were mapped to periodic wake-ups and sleep periods to calculate average current drain. A key outcome was the identification of power saved by reducing unnecessary activity – e.g. limiting how often a UE must decode PDCCH (through techniques like C-DRX, PDCCH monitoring reduction) directly translated to longer micro-sleep periods and lower average power. TR 38.840 provided a reference set of parameters (e.g. a reference FR1 device with certain peak throughput, number of Rx chains, etc.) and established that low data activity periods dominate battery consumption, hence optimizations should focus on lowering the idle or light-traffic power. It also defined an evaluation framework where, for example, RRC Idle power is determined by how often the UE wakes for paging, and RRC Connected power by how long the UE stays active before DRX sleeps kick in.</w:t>
      </w:r>
    </w:p>
    <w:p w14:paraId="42D721B6">
      <w:pPr>
        <w:pStyle w:val="5"/>
      </w:pPr>
      <w:r>
        <w:t xml:space="preserve">One common structure in these models is splitting UE power into states or power components: </w:t>
      </w:r>
    </w:p>
    <w:p w14:paraId="27F1B2F6">
      <w:pPr>
        <w:pStyle w:val="5"/>
        <w:ind w:left="220" w:leftChars="100"/>
      </w:pPr>
      <w:r>
        <w:t xml:space="preserve">- Active transmission/reception power: when the UE’s RF is actively transmitting or receiving. This includes PA power for uplink and receiver circuit power for downlink. It often scales with factors like transmit power, bandwidth, MIMO layers, etc. </w:t>
      </w:r>
    </w:p>
    <w:p w14:paraId="329DDD73">
      <w:pPr>
        <w:pStyle w:val="5"/>
        <w:ind w:left="220" w:leftChars="100"/>
      </w:pPr>
      <w:r>
        <w:t xml:space="preserve">- Idle or sleep power: when the UE is not actively sending/receiving but still must monitor the network (e.g. paging or reference signals in idle/inactive mode). This is often dictated by DRX cycle length – longer DRX (discontinuous reception) means the UE can remain in a low-power sleep state longer, waking briefly to check for signals. </w:t>
      </w:r>
    </w:p>
    <w:p w14:paraId="7B9E270A">
      <w:pPr>
        <w:pStyle w:val="5"/>
        <w:ind w:left="220" w:leftChars="100"/>
      </w:pPr>
      <w:r>
        <w:t>- Baseline power offsets: some components (baseband clock, memory, etc.) that might always draw a baseline power when the UE is on, regardless of state.</w:t>
      </w:r>
    </w:p>
    <w:p w14:paraId="5D2F4CDF">
      <w:pPr>
        <w:pStyle w:val="5"/>
      </w:pPr>
      <w:r>
        <w:t>TR 38.840 introduced the notion of micro-sleep vs active periods on a fine timescale for connected mode. For example, within a 1 ms slot, if a UE only had to process data in certain symbols, it could micro-sleep in others, and the TR provided scaling rules (e.g. assuming PDSCH-only vs PDCCH+PDSCH slot power, etc.). This level of detail ensured that power models could capture gains from even small scheduling tweaks (like bundling data to allow a longer contiguous sleep). All these aspects formed a baseline model for a typical UE with full capabilities (4Rx antennas, wideband, high throughput).</w:t>
      </w:r>
    </w:p>
    <w:p w14:paraId="5855268C">
      <w:pPr>
        <w:pStyle w:val="5"/>
        <w:rPr>
          <w:lang w:eastAsia="zh-CN"/>
        </w:rPr>
      </w:pPr>
      <w:r>
        <w:rPr>
          <w:rFonts w:hint="eastAsia" w:ascii="Times New Roman Bold Italic" w:hAnsi="Times New Roman Bold Italic" w:cs="Times New Roman Bold Italic"/>
          <w:b/>
          <w:bCs/>
          <w:i/>
          <w:iCs/>
          <w:lang w:eastAsia="zh-CN"/>
        </w:rPr>
        <w:t>Observation 1</w:t>
      </w:r>
      <w:r>
        <w:rPr>
          <w:rFonts w:ascii="Times New Roman Bold Italic" w:hAnsi="Times New Roman Bold Italic" w:cs="Times New Roman Bold Italic"/>
          <w:b/>
          <w:bCs/>
          <w:i/>
          <w:iCs/>
          <w:lang w:eastAsia="zh-CN"/>
        </w:rPr>
        <w:t>8</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TR 38.840 established a baseline UE power model for eMBB-class devices, highlighting RF, baseband, and platform consumption. It showed idle/light traffic dominates energy use, so optimizations like longer DRX, reduced PDCCH monitoring, and micro-sleeps significantly cut average power.</w:t>
      </w:r>
    </w:p>
    <w:bookmarkEnd w:id="4"/>
    <w:p w14:paraId="3C8E0688">
      <w:pPr>
        <w:pStyle w:val="4"/>
        <w:tabs>
          <w:tab w:val="clear" w:pos="432"/>
        </w:tabs>
      </w:pPr>
      <w:bookmarkStart w:id="5" w:name="X4e21cb6ceb89e95346eb1299e28143675637762"/>
      <w:r>
        <w:t xml:space="preserve"> RedCap UE power model differences</w:t>
      </w:r>
    </w:p>
    <w:p w14:paraId="442C2D8E">
      <w:pPr>
        <w:pStyle w:val="83"/>
      </w:pPr>
      <w:r>
        <w:t>Release 17’s RedCap were introduced to serve mid-tier IoT and wearable use cases that do not require the full 5G capabilities. RedCap UEs have lower complexity and cost, which directly impacts their power consumption profile. TR 38.875 studied these devices and identified several complexity (and thus power) reduction techniques[10]:</w:t>
      </w:r>
    </w:p>
    <w:p w14:paraId="5C9FE18B">
      <w:pPr>
        <w:pStyle w:val="84"/>
        <w:numPr>
          <w:ilvl w:val="0"/>
          <w:numId w:val="18"/>
        </w:numPr>
      </w:pPr>
      <w:r>
        <w:rPr>
          <w:b/>
          <w:bCs/>
        </w:rPr>
        <w:t>Reduced RF chains and antennas:</w:t>
      </w:r>
      <w:r>
        <w:t xml:space="preserve"> A standard 5G smartphone might have 4 Rx antennas and 2 Tx antennas for MIMO. A RedCap UE can be configured with only 1 or 2 receive chains and a single transmit chain, significantly reducing RF circuit power. Fewer RF chains mean less active power when receiving, and also possibly lower idle power (fewer LNAs drawing current).</w:t>
      </w:r>
    </w:p>
    <w:p w14:paraId="65B6222F">
      <w:pPr>
        <w:pStyle w:val="84"/>
        <w:numPr>
          <w:ilvl w:val="0"/>
          <w:numId w:val="18"/>
        </w:numPr>
      </w:pPr>
      <w:r>
        <w:rPr>
          <w:b/>
          <w:bCs/>
        </w:rPr>
        <w:t>Lower bandwidth capability:</w:t>
      </w:r>
      <w:r>
        <w:t xml:space="preserve"> RedCap devices may support a maximum bandwidth of, for example, 20 MHz or even 10 MHz, as opposed to 100 MHz for high-end. This limits the data rate but also reduces power in the baseband processing (fewer FFT points, etc.) and RF front-end (narrower filters, less power in synthesizers). It also typically means smaller buffers and simpler processing, which save energy.</w:t>
      </w:r>
    </w:p>
    <w:p w14:paraId="0702A561">
      <w:pPr>
        <w:pStyle w:val="84"/>
        <w:numPr>
          <w:ilvl w:val="0"/>
          <w:numId w:val="18"/>
        </w:numPr>
      </w:pPr>
      <w:r>
        <w:rPr>
          <w:b/>
          <w:bCs/>
        </w:rPr>
        <w:t>No massive MIMO or high-order modulation:</w:t>
      </w:r>
      <w:r>
        <w:t xml:space="preserve"> RedCap UEs generally handle at most 2 MIMO layers (often just 1) and typically 64-QAM modulation (not 256-QAM), etc. This allows using simpler receiver algorithms and possibly lower-power RF components (since dynamic range requirements are relaxed).</w:t>
      </w:r>
    </w:p>
    <w:p w14:paraId="11FC2F9E">
      <w:pPr>
        <w:pStyle w:val="84"/>
        <w:numPr>
          <w:ilvl w:val="0"/>
          <w:numId w:val="18"/>
        </w:numPr>
      </w:pPr>
      <w:r>
        <w:rPr>
          <w:b/>
          <w:bCs/>
        </w:rPr>
        <w:t>Relaxed activity and measurement requirements:</w:t>
      </w:r>
      <w:r>
        <w:t xml:space="preserve"> Perhaps most importantly, RedCap introduced features to extend battery life by increasing DRX cycle lengths and reducing mandatory monitoring. For example, eDRX cycles – already known from LTE IoT – were adopted such that a RedCap device can sleep for a much longer period between paging listens. Also, RRM measurements (like neighbor cell measurements) can be performed less frequently or with fewer simultaneous measurements for RedCap, reducing the time the receiver must be on.</w:t>
      </w:r>
    </w:p>
    <w:p w14:paraId="23CBFBEA">
      <w:pPr>
        <w:pStyle w:val="83"/>
      </w:pPr>
      <w:r>
        <w:t>The common structure of the power model remains: active vs sleep periods, but the parameter values differ. A RedCap UE’s baseline power consumption in various states is typically lower than a regular UE. For instance, because of simpler hardware, the active transmission power draw (at max) might be lower (also partly because many RedCap use cases don’t require high transmit power or extensive RF bandwidth). Also, the idle state power is reduced by leveraging longer sleep (eDRX). TR 38.875 and subsequent analyses indicate that a simplest RedCap device can achieve modem complexity reduction of ~65% in FR1 and ~50% in FR2 relative to a full-capability device. This roughly translates to a proportional drop in power consumption for the baseband and RF processing. To illustrate, if a standard smartphone modem consumes, say, 500 mW in a certain active scenario, a RedCap device might target ~175 mW under similar conditions (65% reduction in complexity might yield on the order of 2-3× power efficiency gain) – though exact savings depend on how much of the power is in components that scale down.</w:t>
      </w:r>
    </w:p>
    <w:p w14:paraId="41A549CB">
      <w:pPr>
        <w:pStyle w:val="5"/>
      </w:pPr>
      <w:r>
        <w:t>Battery life targets differ for these categories: while a 5G smartphone might need recharging daily or weekly, RedCap devices are intended for IoT and wearable applications where multi-year battery life or multi-week operation is needed. According to TR 38.875, industrial sensor-type RedCap UEs aim for a few years of battery life, and wearable-type RedCap devices aim for 1-2 weeks between charges. Achieving this requires aggressively low idle power. The power model for RedCap thus allows extremely long DRX (for Idle mode, values like 2.56 s or even longer eDRX cycles borrowed from LTE-M/NB-IoT, e.g. up to ~40 s or more) – meaning the UE might wake very infrequently to check for pages, spending most time in a deep sleep state where only a tiny leakage current is drawn. In connected mode, RedCap devices also typically have lower duty cycles (by virtue of lower data rate applications), further saving power.</w:t>
      </w:r>
    </w:p>
    <w:p w14:paraId="6345FB21">
      <w:pPr>
        <w:pStyle w:val="5"/>
      </w:pPr>
      <w:r>
        <w:t xml:space="preserve">From a modeling perspective, if we denote by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idle</m:t>
            </m:r>
            <m:ctrlPr>
              <w:rPr>
                <w:rFonts w:ascii="Cambria Math" w:hAnsi="Cambria Math"/>
              </w:rPr>
            </m:ctrlPr>
          </m:sub>
        </m:sSub>
      </m:oMath>
      <w:r>
        <w:t xml:space="preserve"> the average power in Idle mode for a given DRX cycle, a unified expression might be:</w:t>
      </w:r>
    </w:p>
    <w:p w14:paraId="0919DC94">
      <w:pPr>
        <w:pStyle w:val="5"/>
      </w:pPr>
      <m:oMathPara>
        <m:oMathParaPr>
          <m:jc m:val="center"/>
        </m:oMathParaP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idle</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I</m:t>
              </m:r>
              <m:ctrlPr>
                <w:rPr>
                  <w:rFonts w:ascii="Cambria Math" w:hAnsi="Cambria Math"/>
                </w:rPr>
              </m:ctrlPr>
            </m:e>
            <m:sub>
              <m:r>
                <m:rPr>
                  <m:nor/>
                  <m:sty m:val="p"/>
                </m:rPr>
                <w:rPr>
                  <w:b w:val="0"/>
                  <w:i w:val="0"/>
                </w:rPr>
                <m:t>sleep</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sleep</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I</m:t>
              </m:r>
              <m:ctrlPr>
                <w:rPr>
                  <w:rFonts w:ascii="Cambria Math" w:hAnsi="Cambria Math"/>
                </w:rPr>
              </m:ctrlPr>
            </m:e>
            <m:sub>
              <m:r>
                <m:rPr>
                  <m:nor/>
                  <m:sty m:val="p"/>
                </m:rPr>
                <w:rPr>
                  <w:b w:val="0"/>
                  <w:i w:val="0"/>
                </w:rPr>
                <m:t>wake</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wake</m:t>
              </m:r>
              <m:ctrlPr>
                <w:rPr>
                  <w:rFonts w:ascii="Cambria Math" w:hAnsi="Cambria Math"/>
                </w:rPr>
              </m:ctrlPr>
            </m:sub>
          </m:sSub>
          <m:r>
            <m:rPr/>
            <w:rPr>
              <w:rFonts w:ascii="Cambria Math" w:hAnsi="Cambria Math"/>
            </w:rPr>
            <m:t> </m:t>
          </m:r>
          <m:r>
            <m:rPr>
              <m:nor/>
              <m:sty m:val="p"/>
            </m:rPr>
            <w:rPr>
              <w:b w:val="0"/>
              <w:i w:val="0"/>
            </w:rPr>
            <m:t>(averaged over a DRX cycle)</m:t>
          </m:r>
          <m:r>
            <m:rPr/>
            <w:rPr>
              <w:rFonts w:ascii="Cambria Math" w:hAnsi="Cambria Math"/>
            </w:rPr>
            <m:t> </m:t>
          </m:r>
          <m:r>
            <m:rPr>
              <m:sty m:val="p"/>
            </m:rPr>
            <w:rPr>
              <w:rFonts w:ascii="Cambria Math" w:hAnsi="Cambria Math"/>
            </w:rPr>
            <m:t>,</m:t>
          </m:r>
        </m:oMath>
      </m:oMathPara>
    </w:p>
    <w:p w14:paraId="5A84BF78">
      <w:pPr>
        <w:pStyle w:val="83"/>
      </w:pPr>
      <w:r>
        <w:t xml:space="preserve">where </w:t>
      </w:r>
      <m:oMath>
        <m:sSub>
          <m:sSubPr>
            <m:ctrlPr>
              <w:rPr>
                <w:rFonts w:ascii="Cambria Math" w:hAnsi="Cambria Math"/>
              </w:rPr>
            </m:ctrlPr>
          </m:sSubPr>
          <m:e>
            <m:r>
              <m:rPr/>
              <w:rPr>
                <w:rFonts w:ascii="Cambria Math" w:hAnsi="Cambria Math"/>
              </w:rPr>
              <m:t>I</m:t>
            </m:r>
            <m:ctrlPr>
              <w:rPr>
                <w:rFonts w:ascii="Cambria Math" w:hAnsi="Cambria Math"/>
              </w:rPr>
            </m:ctrlPr>
          </m:e>
          <m:sub>
            <m:r>
              <m:rPr/>
              <w:rPr>
                <w:rFonts w:ascii="Cambria Math" w:hAnsi="Cambria Math"/>
              </w:rPr>
              <m:t>sleep</m:t>
            </m:r>
            <m:ctrlPr>
              <w:rPr>
                <w:rFonts w:ascii="Cambria Math" w:hAnsi="Cambria Math"/>
              </w:rPr>
            </m:ctrlPr>
          </m:sub>
        </m:sSub>
      </m:oMath>
      <w:r>
        <w:t xml:space="preserve"> is the current draw in deep sleep (radio off, just timer running) and </w:t>
      </w:r>
      <m:oMath>
        <m:sSub>
          <m:sSubPr>
            <m:ctrlPr>
              <w:rPr>
                <w:rFonts w:ascii="Cambria Math" w:hAnsi="Cambria Math"/>
              </w:rPr>
            </m:ctrlPr>
          </m:sSubPr>
          <m:e>
            <m:r>
              <m:rPr/>
              <w:rPr>
                <w:rFonts w:ascii="Cambria Math" w:hAnsi="Cambria Math"/>
              </w:rPr>
              <m:t>I</m:t>
            </m:r>
            <m:ctrlPr>
              <w:rPr>
                <w:rFonts w:ascii="Cambria Math" w:hAnsi="Cambria Math"/>
              </w:rPr>
            </m:ctrlPr>
          </m:e>
          <m:sub>
            <m:r>
              <m:rPr/>
              <w:rPr>
                <w:rFonts w:ascii="Cambria Math" w:hAnsi="Cambria Math"/>
              </w:rPr>
              <m:t>wake</m:t>
            </m:r>
            <m:ctrlPr>
              <w:rPr>
                <w:rFonts w:ascii="Cambria Math" w:hAnsi="Cambria Math"/>
              </w:rPr>
            </m:ctrlPr>
          </m:sub>
        </m:sSub>
      </m:oMath>
      <w:r>
        <w:t xml:space="preserve"> is the current during the paging receive burst, with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sleep</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wake</m:t>
            </m:r>
            <m:ctrlPr>
              <w:rPr>
                <w:rFonts w:ascii="Cambria Math" w:hAnsi="Cambria Math"/>
              </w:rPr>
            </m:ctrlPr>
          </m:sub>
        </m:sSub>
      </m:oMath>
      <w:r>
        <w:t xml:space="preserve"> the durations of those phases. RedCap maximizes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sleep</m:t>
            </m:r>
            <m:ctrlPr>
              <w:rPr>
                <w:rFonts w:ascii="Cambria Math" w:hAnsi="Cambria Math"/>
              </w:rPr>
            </m:ctrlPr>
          </m:sub>
        </m:sSub>
      </m:oMath>
      <w:r>
        <w:t xml:space="preserve"> (e.g. hundreds of milliseconds or several seconds) while minimizing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wake</m:t>
            </m:r>
            <m:ctrlPr>
              <w:rPr>
                <w:rFonts w:ascii="Cambria Math" w:hAnsi="Cambria Math"/>
              </w:rPr>
            </m:ctrlPr>
          </m:sub>
        </m:sSub>
      </m:oMath>
      <w:r>
        <w:t xml:space="preserve"> (just a few 10s of milliseconds for paging reception). As a result,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idle</m:t>
            </m:r>
            <m:ctrlPr>
              <w:rPr>
                <w:rFonts w:ascii="Cambria Math" w:hAnsi="Cambria Math"/>
              </w:rPr>
            </m:ctrlPr>
          </m:sub>
        </m:sSub>
      </m:oMath>
      <w:r>
        <w:t xml:space="preserve"> is dramatically lower than for a standard UE (which might have to wake every 160 ms in Rel-15). The structure of this calculation is the same for any UE; the difference is in the values: a RedCap might have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sleep</m:t>
            </m:r>
            <m:ctrlPr>
              <w:rPr>
                <w:rFonts w:ascii="Cambria Math" w:hAnsi="Cambria Math"/>
              </w:rPr>
            </m:ctrlPr>
          </m:sub>
        </m:sSub>
      </m:oMath>
      <w:r>
        <w:t xml:space="preserve"> = 2 s and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wake</m:t>
            </m:r>
            <m:ctrlPr>
              <w:rPr>
                <w:rFonts w:ascii="Cambria Math" w:hAnsi="Cambria Math"/>
              </w:rPr>
            </m:ctrlPr>
          </m:sub>
        </m:sSub>
      </m:oMath>
      <w:r>
        <w:t xml:space="preserve"> = 0.1 s, versus a normal UE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sleep</m:t>
            </m:r>
            <m:ctrlPr>
              <w:rPr>
                <w:rFonts w:ascii="Cambria Math" w:hAnsi="Cambria Math"/>
              </w:rPr>
            </m:ctrlPr>
          </m:sub>
        </m:sSub>
      </m:oMath>
      <w:r>
        <w:t xml:space="preserve"> = 0.16 s,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wake</m:t>
            </m:r>
            <m:ctrlPr>
              <w:rPr>
                <w:rFonts w:ascii="Cambria Math" w:hAnsi="Cambria Math"/>
              </w:rPr>
            </m:ctrlPr>
          </m:sub>
        </m:sSub>
      </m:oMath>
      <w:r>
        <w:t xml:space="preserve"> = 0.02 s, for example. Thus RedCap might achieve an idle duty cycle of ~5% or less, whereas a legacy device might be ~11% – directly yielding a ~2× reduction in idle power. Furthermore, </w:t>
      </w:r>
      <m:oMath>
        <m:sSub>
          <m:sSubPr>
            <m:ctrlPr>
              <w:rPr>
                <w:rFonts w:ascii="Cambria Math" w:hAnsi="Cambria Math"/>
              </w:rPr>
            </m:ctrlPr>
          </m:sSubPr>
          <m:e>
            <m:r>
              <m:rPr/>
              <w:rPr>
                <w:rFonts w:ascii="Cambria Math" w:hAnsi="Cambria Math"/>
              </w:rPr>
              <m:t>I</m:t>
            </m:r>
            <m:ctrlPr>
              <w:rPr>
                <w:rFonts w:ascii="Cambria Math" w:hAnsi="Cambria Math"/>
              </w:rPr>
            </m:ctrlPr>
          </m:e>
          <m:sub>
            <m:r>
              <m:rPr/>
              <w:rPr>
                <w:rFonts w:ascii="Cambria Math" w:hAnsi="Cambria Math"/>
              </w:rPr>
              <m:t>sleep</m:t>
            </m:r>
            <m:ctrlPr>
              <w:rPr>
                <w:rFonts w:ascii="Cambria Math" w:hAnsi="Cambria Math"/>
              </w:rPr>
            </m:ctrlPr>
          </m:sub>
        </m:sSub>
      </m:oMath>
      <w:r>
        <w:t xml:space="preserve"> itself could be lower for RedCap if, say, it turns off more components (with only a low-power oscillator running).</w:t>
      </w:r>
    </w:p>
    <w:p w14:paraId="577FF3DB">
      <w:pPr>
        <w:pStyle w:val="5"/>
        <w:rPr>
          <w:rFonts w:ascii="Times New Roman Bold Italic" w:hAnsi="Times New Roman Bold Italic" w:cs="Times New Roman Bold Italic"/>
          <w:b/>
          <w:bCs/>
          <w:i/>
          <w:iCs/>
        </w:rPr>
      </w:pPr>
      <w:r>
        <w:rPr>
          <w:rFonts w:ascii="Times New Roman Bold Italic" w:hAnsi="Times New Roman Bold Italic" w:cs="Times New Roman Bold Italic"/>
          <w:b/>
          <w:bCs/>
          <w:i/>
          <w:iCs/>
        </w:rPr>
        <w:t>Observation 19: RedCap power modeling simplifies UE architecture with fewer RF chains, narrower bandwidth, and limited modulation, combined with long DRX cycles. These adjustments reduce baseline, active, and idle power, enabling significantly lower average consumption and extended battery life.</w:t>
      </w:r>
    </w:p>
    <w:bookmarkEnd w:id="5"/>
    <w:p w14:paraId="4456EB7B">
      <w:pPr>
        <w:pStyle w:val="4"/>
        <w:tabs>
          <w:tab w:val="clear" w:pos="432"/>
        </w:tabs>
      </w:pPr>
      <w:bookmarkStart w:id="6" w:name="Xdea834a9306a8e12871bb3723f4de3ab61c2448"/>
      <w:r>
        <w:t xml:space="preserve"> eRedCap and LP-WUS</w:t>
      </w:r>
    </w:p>
    <w:p w14:paraId="4C0FC898">
      <w:pPr>
        <w:pStyle w:val="83"/>
      </w:pPr>
      <w:r>
        <w:t xml:space="preserve">Release 18 continued the effort to improve UE energy efficiency for various device tiers. TR 38.865 (Further NR RedCap UE complexity reduction) looked at additional ways to reduce power and complexity for RedCap UEs. A major aspect studied was the introduction of long DRX in RRC_INACTIVE state. RRC_INACTIVE is a state introduced in NR (Rel-16) to allow UEs to remain semi-connected (with context stored) but largely asleep, saving the overhead of full connection while enabling faster resume than Idle. However, in Rel-16/17 the DRX in Inactive was not extremely long (similar to Idle DRX). The new WI referenced in SP-220803 aimed to support very long eDRX cycles in inactive state for RedCap UEs. This means an eRedCap device could stay in Inactive with, say, many seconds of sleep between checking for paging or wake-up, which pushes its average power closer to that of pure Idle with eDRX. The feasibility of unified modeling between Idle and Inactive arises: effectively, both are now long-DRX sleep states with infrequent wake-ups. From a power model perspective, we could treat them similarly: define a cycle period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cycle</m:t>
            </m:r>
            <m:ctrlPr>
              <w:rPr>
                <w:rFonts w:ascii="Cambria Math" w:hAnsi="Cambria Math"/>
              </w:rPr>
            </m:ctrlPr>
          </m:sub>
        </m:sSub>
      </m:oMath>
      <w:r>
        <w:t xml:space="preserve"> and fraction awake. The difference might be that in Inactive, the UE also has context to quickly resume, but that does not directly change power draw except that an Inactive UE might have to listen for a special wake-up (</w:t>
      </w:r>
      <w:r>
        <w:rPr>
          <w:rFonts w:hint="eastAsia"/>
          <w:lang w:eastAsia="zh-CN"/>
        </w:rPr>
        <w:t>e.g.</w:t>
      </w:r>
      <w:r>
        <w:rPr>
          <w:lang w:eastAsia="zh-CN"/>
        </w:rPr>
        <w:t xml:space="preserve">, monitoring </w:t>
      </w:r>
      <w:r>
        <w:t>Paging PDCCH) more often than an Idle UE in some configs. The study likely adjusted parameters such as allowable maximum eDRX length for Inactive (possibly on the order of minutes, though constrained by network needs).</w:t>
      </w:r>
    </w:p>
    <w:p w14:paraId="3E5BC4A6">
      <w:pPr>
        <w:pStyle w:val="5"/>
      </w:pPr>
      <w:r>
        <w:t xml:space="preserve">Another area of eRedCap could be further reduction in active-mode power. For instance, Rel-18 explored support of RedCap UEs with longer inactivity timers and ability to go to sleep even during data transmission gaps. For example, if a RedCap sensor transmits a small packet and then expects no new data for a second, it could drop to a deep sleep state almost immediately (rather than remain in connected mode). This blurs the line between Idle and Connected in terms of power modeling, and pushes us to unify how we think of “active” vs “sleep” states for 6G. Essentially, we want a model where any UE (high-end or low-end) can be described by a set of parameters such as: </w:t>
      </w:r>
    </w:p>
    <w:p w14:paraId="77122128">
      <w:pPr>
        <w:pStyle w:val="5"/>
      </w:pPr>
      <w: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RF</m:t>
            </m:r>
            <m:ctrlPr>
              <w:rPr>
                <w:rFonts w:ascii="Cambria Math" w:hAnsi="Cambria Math"/>
              </w:rPr>
            </m:ctrlPr>
          </m:sub>
        </m:sSub>
      </m:oMath>
      <w:r>
        <w:t xml:space="preserve"> (number of RF chains), </w:t>
      </w:r>
    </w:p>
    <w:p w14:paraId="022F9AE0">
      <w:pPr>
        <w:pStyle w:val="5"/>
      </w:pPr>
      <w:r>
        <w:t xml:space="preserve">- </w:t>
      </w:r>
      <m:oMath>
        <m:sSub>
          <m:sSubPr>
            <m:ctrlPr>
              <w:rPr>
                <w:rFonts w:ascii="Cambria Math" w:hAnsi="Cambria Math"/>
              </w:rPr>
            </m:ctrlPr>
          </m:sSubPr>
          <m:e>
            <m:r>
              <m:rPr/>
              <w:rPr>
                <w:rFonts w:ascii="Cambria Math" w:hAnsi="Cambria Math"/>
              </w:rPr>
              <m:t>B</m:t>
            </m:r>
            <m:ctrlPr>
              <w:rPr>
                <w:rFonts w:ascii="Cambria Math" w:hAnsi="Cambria Math"/>
              </w:rPr>
            </m:ctrlPr>
          </m:e>
          <m:sub>
            <m:r>
              <m:rPr/>
              <w:rPr>
                <w:rFonts w:ascii="Cambria Math" w:hAnsi="Cambria Math"/>
              </w:rPr>
              <m:t>max</m:t>
            </m:r>
            <m:ctrlPr>
              <w:rPr>
                <w:rFonts w:ascii="Cambria Math" w:hAnsi="Cambria Math"/>
              </w:rPr>
            </m:ctrlPr>
          </m:sub>
        </m:sSub>
      </m:oMath>
      <w:r>
        <w:t xml:space="preserve"> (max bandwidth), </w:t>
      </w:r>
    </w:p>
    <w:p w14:paraId="0E459C21">
      <w:pPr>
        <w:pStyle w:val="5"/>
      </w:pPr>
      <w:r>
        <w:t xml:space="preserve">-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tx,max</m:t>
            </m:r>
            <m:ctrlPr>
              <w:rPr>
                <w:rFonts w:ascii="Cambria Math" w:hAnsi="Cambria Math"/>
              </w:rPr>
            </m:ctrlPr>
          </m:sub>
        </m:sSub>
      </m:oMath>
      <w:r>
        <w:t xml:space="preserve"> (max transmit power capability, which affects PA power),</w:t>
      </w:r>
    </w:p>
    <w:p w14:paraId="284C1687">
      <w:pPr>
        <w:pStyle w:val="5"/>
      </w:pPr>
      <w:r>
        <w:t xml:space="preserve">- DRX cycle lengths and patterns for Idle/Inactive, </w:t>
      </w:r>
    </w:p>
    <w:p w14:paraId="5F7CAD9E">
      <w:pPr>
        <w:pStyle w:val="5"/>
      </w:pPr>
      <w:r>
        <w:t>- presence of a secondary low-power receiver (as we’ll discuss for WUS).</w:t>
      </w:r>
    </w:p>
    <w:p w14:paraId="39B53FBD">
      <w:pPr>
        <w:pStyle w:val="5"/>
      </w:pPr>
      <w:r>
        <w:t>By plugging different values, the model should yield the corresponding power behavior.</w:t>
      </w:r>
    </w:p>
    <w:p w14:paraId="61253748">
      <w:pPr>
        <w:pStyle w:val="5"/>
      </w:pPr>
    </w:p>
    <w:p w14:paraId="15321431">
      <w:pPr>
        <w:pStyle w:val="5"/>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rPr>
        <w:t>Observation 20: Rel-18 eRedCap introduced very long DRX in RRC_INACTIVE and deeper sleep during data gaps, enabling unified idle/inactive power modeling.</w:t>
      </w:r>
    </w:p>
    <w:p w14:paraId="0EB89797">
      <w:pPr>
        <w:pStyle w:val="5"/>
      </w:pPr>
    </w:p>
    <w:p w14:paraId="7F6DB1EE">
      <w:pPr>
        <w:pStyle w:val="5"/>
      </w:pPr>
      <w:r>
        <w:rPr>
          <w:b/>
          <w:bCs/>
        </w:rPr>
        <w:t>TR 38.869 (Low-Power Wake-Up Signal and Receiver)</w:t>
      </w:r>
      <w:r>
        <w:t xml:space="preserve"> is particularly interesting for power modeling unification. This study addresses a new technique applicable to any UE category but especially beneficial for low-power devices: adding a Wake-Up Receiver (WUR) that can monitor a WUS with ultra-low power. The concept, now part of 5G-Advanced (Rel-18/19), is that instead of a UE periodically activating its main radio to check for paging (which costs tens of milliwatts each time), the UE could keep its main radio off and use a tiny always-on receiver that only listens for a special wake-up signal (transmitted by the gNB prior to paging). This WUR can be made extremely power-efficient (consuming perhaps only milliwatts or less), using techniques like simple OOK (On-Off Keying) modulation and operating with just enough sensitivity to detect a trigger. When the WUR detects a WUS intended for the UE, it “wakes” the main RF circuitry to receive the actual paging PDCCH/PDSCH. If no WUS is sent for that UE, the main radio stays in deep sleep continuously.</w:t>
      </w:r>
    </w:p>
    <w:p w14:paraId="0E99F8DE">
      <w:pPr>
        <w:pStyle w:val="5"/>
      </w:pPr>
      <w:r>
        <w:t>From a unified modeling perspective, the introduction of WUS/WUR essentially adds a new power state: WUR-listening state. In legacy terms, a UE in Idle DRX cycles between “sleep” and “paging reception” states. With WUR, it instead cycles between “WUR listening (low power)” and “main radio wake-up for paging (only if triggered)”. The dramatic benefit is that if paging is infrequent (which it usually is), the main radio might remain off for hours, and the WUR draws a fraction of the power that periodic full wake-ups would. The TR 38.869 introduction quantifies that baseline: current 5G devices consume tens of mW in idle/inactive state primarily due to periodic wake-ups. With WUR, the goal is to cut that down significantly, enabling multi-year battery for IoT sensors and multi-week for wearables–as standard DRX alone was insufficient when latency requirements forced a minimum wake-up frequency.</w:t>
      </w:r>
    </w:p>
    <w:p w14:paraId="22D9A135">
      <w:pPr>
        <w:pStyle w:val="5"/>
      </w:pPr>
      <w:r>
        <w:t xml:space="preserve">Modeling WUR: We propose extending the UE power model with parameters for the WUR. Let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WUR</m:t>
            </m:r>
            <m:ctrlPr>
              <w:rPr>
                <w:rFonts w:ascii="Cambria Math" w:hAnsi="Cambria Math"/>
              </w:rPr>
            </m:ctrlPr>
          </m:sub>
        </m:sSub>
      </m:oMath>
      <w:r>
        <w:t xml:space="preserve"> be the power consumption of the wake-up receiver when monitoring (likely nearly constant), and assume it runs continuously or quasi-continuously. Let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WU_cycle</m:t>
            </m:r>
            <m:ctrlPr>
              <w:rPr>
                <w:rFonts w:ascii="Cambria Math" w:hAnsi="Cambria Math"/>
              </w:rPr>
            </m:ctrlPr>
          </m:sub>
        </m:sSub>
      </m:oMath>
      <w:r>
        <w:t xml:space="preserve"> be the wake-up signal cycle (for instance, network might transmit WUS every X paging occasions). If no wake-up is triggered, the UE’s main radio stays off, so the average power is just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WUR</m:t>
            </m:r>
            <m:ctrlPr>
              <w:rPr>
                <w:rFonts w:ascii="Cambria Math" w:hAnsi="Cambria Math"/>
              </w:rPr>
            </m:ctrlPr>
          </m:sub>
        </m:sSub>
      </m:oMath>
      <w:r>
        <w:t xml:space="preserve"> plus whatever negligible sleep current outside the WUR. If a wake-up occurs, the main radio will turn on and consume its normal paging reception energy once. We can express average UE power in idle with WUR as:</w:t>
      </w:r>
    </w:p>
    <w:p w14:paraId="328D08D7">
      <w:pPr>
        <w:pStyle w:val="5"/>
      </w:pPr>
      <m:oMathPara>
        <m:oMathParaPr>
          <m:jc m:val="center"/>
        </m:oMathParaP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idle,WUR</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WUR</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E</m:t>
                  </m:r>
                  <m:ctrlPr>
                    <w:rPr>
                      <w:rFonts w:ascii="Cambria Math" w:hAnsi="Cambria Math"/>
                    </w:rPr>
                  </m:ctrlPr>
                </m:e>
                <m:sub>
                  <m:r>
                    <m:rPr>
                      <m:nor/>
                      <m:sty m:val="p"/>
                    </m:rPr>
                    <w:rPr>
                      <w:b w:val="0"/>
                      <w:i w:val="0"/>
                    </w:rPr>
                    <m:t>wake</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cycle</m:t>
                  </m:r>
                  <m:ctrlPr>
                    <w:rPr>
                      <w:rFonts w:ascii="Cambria Math" w:hAnsi="Cambria Math"/>
                    </w:rPr>
                  </m:ctrlPr>
                </m:sub>
              </m:sSub>
              <m:ctrlPr>
                <w:rPr>
                  <w:rFonts w:ascii="Cambria Math" w:hAnsi="Cambria Math"/>
                </w:rPr>
              </m:ctrlPr>
            </m:den>
          </m:f>
          <m:r>
            <m:rPr/>
            <w:rPr>
              <w:rFonts w:ascii="Cambria Math" w:hAnsi="Cambria Math"/>
            </w:rPr>
            <m:t> </m:t>
          </m:r>
          <m:r>
            <m:rPr>
              <m:sty m:val="p"/>
            </m:rPr>
            <w:rPr>
              <w:rFonts w:ascii="Cambria Math" w:hAnsi="Cambria Math"/>
            </w:rPr>
            <m:t>,</m:t>
          </m:r>
        </m:oMath>
      </m:oMathPara>
    </w:p>
    <w:p w14:paraId="02CDC045">
      <w:pPr>
        <w:pStyle w:val="83"/>
      </w:pPr>
      <w:r>
        <w:t xml:space="preserve">where </w:t>
      </w:r>
      <m:oMath>
        <m:sSub>
          <m:sSubPr>
            <m:ctrlPr>
              <w:rPr>
                <w:rFonts w:ascii="Cambria Math" w:hAnsi="Cambria Math"/>
              </w:rPr>
            </m:ctrlPr>
          </m:sSubPr>
          <m:e>
            <m:r>
              <m:rPr/>
              <w:rPr>
                <w:rFonts w:ascii="Cambria Math" w:hAnsi="Cambria Math"/>
              </w:rPr>
              <m:t>E</m:t>
            </m:r>
            <m:ctrlPr>
              <w:rPr>
                <w:rFonts w:ascii="Cambria Math" w:hAnsi="Cambria Math"/>
              </w:rPr>
            </m:ctrlPr>
          </m:e>
          <m:sub>
            <m:r>
              <m:rPr/>
              <w:rPr>
                <w:rFonts w:ascii="Cambria Math" w:hAnsi="Cambria Math"/>
              </w:rPr>
              <m:t>wake</m:t>
            </m:r>
            <m:ctrlPr>
              <w:rPr>
                <w:rFonts w:ascii="Cambria Math" w:hAnsi="Cambria Math"/>
              </w:rPr>
            </m:ctrlPr>
          </m:sub>
        </m:sSub>
      </m:oMath>
      <w:r>
        <w:t xml:space="preserve"> is the energy of one wake-up sequence (which includes the WUS detection energy – though that is already counted in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WUR</m:t>
            </m:r>
            <m:ctrlPr>
              <w:rPr>
                <w:rFonts w:ascii="Cambria Math" w:hAnsi="Cambria Math"/>
              </w:rPr>
            </m:ctrlPr>
          </m:sub>
        </m:sSub>
      </m:oMath>
      <w:r>
        <w:t xml:space="preserve"> continuous consumption – and the main radio paging decode energy). If wake-ups are rare, the second term is very small. For example, suppose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WUR</m:t>
            </m:r>
            <m:ctrlPr>
              <w:rPr>
                <w:rFonts w:ascii="Cambria Math" w:hAnsi="Cambria Math"/>
              </w:rPr>
            </m:ctrlPr>
          </m:sub>
        </m:sSub>
        <m:r>
          <m:rPr/>
          <w:rPr>
            <w:rFonts w:ascii="Cambria Math" w:hAnsi="Cambria Math"/>
          </w:rPr>
          <m:t>=1</m:t>
        </m:r>
      </m:oMath>
      <w:r>
        <w:t xml:space="preserve"> mW (a hypothetical efficient wake-up receiver) and the UE only gets paged once an hour (and that paging decode costs 100 mJ). Then </w:t>
      </w:r>
      <m:oMath>
        <m:sSub>
          <m:sSubPr>
            <m:ctrlPr>
              <w:rPr>
                <w:rFonts w:ascii="Cambria Math" w:hAnsi="Cambria Math"/>
              </w:rPr>
            </m:ctrlPr>
          </m:sSubPr>
          <m:e>
            <m:r>
              <m:rPr/>
              <w:rPr>
                <w:rFonts w:ascii="Cambria Math" w:hAnsi="Cambria Math"/>
              </w:rPr>
              <m:t>E</m:t>
            </m:r>
            <m:ctrlPr>
              <w:rPr>
                <w:rFonts w:ascii="Cambria Math" w:hAnsi="Cambria Math"/>
              </w:rPr>
            </m:ctrlPr>
          </m:e>
          <m:sub>
            <m:r>
              <m:rPr/>
              <w:rPr>
                <w:rFonts w:ascii="Cambria Math" w:hAnsi="Cambria Math"/>
              </w:rPr>
              <m:t>wake</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cycle</m:t>
            </m:r>
            <m:ctrlPr>
              <w:rPr>
                <w:rFonts w:ascii="Cambria Math" w:hAnsi="Cambria Math"/>
              </w:rPr>
            </m:ctrlPr>
          </m:sub>
        </m:sSub>
        <m:r>
          <m:rPr/>
          <w:rPr>
            <w:rFonts w:ascii="Cambria Math" w:hAnsi="Cambria Math"/>
          </w:rPr>
          <m:t>=100mJ/3600s</m:t>
        </m:r>
        <m:r>
          <m:rPr/>
          <w:rPr>
            <w:rFonts w:ascii="DejaVu Math TeX Gyre" w:hAnsi="DejaVu Math TeX Gyre"/>
          </w:rPr>
          <m:t>≈</m:t>
        </m:r>
        <m:r>
          <m:rPr/>
          <w:rPr>
            <w:rFonts w:ascii="Cambria Math" w:hAnsi="Cambria Math"/>
          </w:rPr>
          <m:t>0</m:t>
        </m:r>
        <m:r>
          <m:rPr/>
          <w:rPr>
            <w:rFonts w:ascii="DejaVu Math TeX Gyre" w:hAnsi="DejaVu Math TeX Gyre"/>
          </w:rPr>
          <m:t>.</m:t>
        </m:r>
        <m:r>
          <m:rPr/>
          <w:rPr>
            <w:rFonts w:ascii="Cambria Math" w:hAnsi="Cambria Math"/>
          </w:rPr>
          <m:t>028</m:t>
        </m:r>
      </m:oMath>
      <w:r>
        <w:t> mW, negligible. So the UE’s idle power would be ~1.03 mW, compared to maybe 10–20 mW without WUR– a 10× reduction. This exemplifies the “ultra-low-power idle” state enabled by WUS/WUR.</w:t>
      </w:r>
    </w:p>
    <w:p w14:paraId="294F83D6">
      <w:pPr>
        <w:pStyle w:val="5"/>
      </w:pPr>
      <w:r>
        <w:t xml:space="preserve">However, WUR might not be active for all devices or all scenarios (e.g., a high-end smartphone might not employ WUR if it’s mostly on charger daily, but a sensor would). In a unified 6G UE power model, we can incorporate WUR as an optional feature. One way is to have a parameter boolean </w:t>
      </w:r>
      <m:oMath>
        <m:sSub>
          <m:sSubPr>
            <m:ctrlPr>
              <w:rPr>
                <w:rFonts w:ascii="Cambria Math" w:hAnsi="Cambria Math"/>
              </w:rPr>
            </m:ctrlPr>
          </m:sSubPr>
          <m:e>
            <m:r>
              <m:rPr/>
              <w:rPr>
                <w:rFonts w:ascii="Cambria Math" w:hAnsi="Cambria Math"/>
              </w:rPr>
              <m:t>b</m:t>
            </m:r>
            <m:ctrlPr>
              <w:rPr>
                <w:rFonts w:ascii="Cambria Math" w:hAnsi="Cambria Math"/>
              </w:rPr>
            </m:ctrlPr>
          </m:e>
          <m:sub>
            <m:r>
              <m:rPr/>
              <w:rPr>
                <w:rFonts w:ascii="Cambria Math" w:hAnsi="Cambria Math"/>
              </w:rPr>
              <m:t>WUR</m:t>
            </m:r>
            <m:ctrlPr>
              <w:rPr>
                <w:rFonts w:ascii="Cambria Math" w:hAnsi="Cambria Math"/>
              </w:rPr>
            </m:ctrlPr>
          </m:sub>
        </m:sSub>
      </m:oMath>
      <w:r>
        <w:t>, and define the idle power as:</w:t>
      </w:r>
    </w:p>
    <w:p w14:paraId="2F936AD9">
      <w:pPr>
        <w:pStyle w:val="5"/>
      </w:pPr>
      <m:oMathPara>
        <m:oMathParaPr>
          <m:jc m:val="center"/>
        </m:oMathParaP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idle</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m>
                <m:mPr>
                  <m:mcs>
                    <m:mc>
                      <m:mcPr>
                        <m:count m:val="2"/>
                        <m:mcJc m:val="left"/>
                      </m:mcPr>
                    </m:mc>
                  </m:mcs>
                  <m:plcHide m:val="1"/>
                  <m:ctrlPr>
                    <w:rPr>
                      <w:rFonts w:ascii="Cambria Math" w:hAnsi="Cambria Math"/>
                    </w:rPr>
                  </m:ctrlPr>
                </m:mPr>
                <m:mr>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WUR</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E</m:t>
                            </m:r>
                            <m:ctrlPr>
                              <w:rPr>
                                <w:rFonts w:ascii="Cambria Math" w:hAnsi="Cambria Math"/>
                              </w:rPr>
                            </m:ctrlPr>
                          </m:e>
                          <m:sub>
                            <m:r>
                              <m:rPr>
                                <m:nor/>
                                <m:sty m:val="p"/>
                              </m:rPr>
                              <w:rPr>
                                <w:b w:val="0"/>
                                <w:i w:val="0"/>
                              </w:rPr>
                              <m:t>wake</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cycle</m:t>
                            </m:r>
                            <m:ctrlPr>
                              <w:rPr>
                                <w:rFonts w:ascii="Cambria Math" w:hAnsi="Cambria Math"/>
                              </w:rPr>
                            </m:ctrlPr>
                          </m:sub>
                        </m:sSub>
                        <m:ctrlPr>
                          <w:rPr>
                            <w:rFonts w:ascii="Cambria Math" w:hAnsi="Cambria Math"/>
                          </w:rPr>
                        </m:ctrlPr>
                      </m:e>
                    </m:d>
                    <m:ctrlPr>
                      <w:rPr>
                        <w:rFonts w:ascii="Cambria Math" w:hAnsi="Cambria Math"/>
                      </w:rPr>
                    </m:ctrlPr>
                  </m:e>
                  <m:e>
                    <m:r>
                      <m:rPr>
                        <m:nor/>
                        <m:sty m:val="p"/>
                      </m:rPr>
                      <w:rPr>
                        <w:b w:val="0"/>
                        <w:i w:val="0"/>
                      </w:rPr>
                      <m:t>if</m:t>
                    </m:r>
                    <m:sSub>
                      <m:sSubPr>
                        <m:ctrlPr>
                          <w:rPr>
                            <w:rFonts w:ascii="Cambria Math" w:hAnsi="Cambria Math"/>
                          </w:rPr>
                        </m:ctrlPr>
                      </m:sSubPr>
                      <m:e>
                        <m:r>
                          <m:rPr/>
                          <w:rPr>
                            <w:rFonts w:ascii="DejaVu Math TeX Gyre" w:hAnsi="DejaVu Math TeX Gyre"/>
                            <w:lang w:eastAsia="zh-CN"/>
                          </w:rPr>
                          <m:t xml:space="preserve"> </m:t>
                        </m:r>
                        <m:r>
                          <m:rPr/>
                          <w:rPr>
                            <w:rFonts w:ascii="Cambria Math" w:hAnsi="Cambria Math"/>
                          </w:rPr>
                          <m:t>b</m:t>
                        </m:r>
                        <m:ctrlPr>
                          <w:rPr>
                            <w:rFonts w:ascii="Cambria Math" w:hAnsi="Cambria Math"/>
                          </w:rPr>
                        </m:ctrlPr>
                      </m:e>
                      <m:sub>
                        <m:r>
                          <m:rPr/>
                          <w:rPr>
                            <w:rFonts w:ascii="Cambria Math" w:hAnsi="Cambria Math"/>
                          </w:rPr>
                          <m:t>WUR</m:t>
                        </m:r>
                        <m:ctrlPr>
                          <w:rPr>
                            <w:rFonts w:ascii="Cambria Math" w:hAnsi="Cambria Math"/>
                          </w:rPr>
                        </m:ctrlPr>
                      </m:sub>
                    </m:sSub>
                    <m:r>
                      <m:rPr>
                        <m:sty m:val="p"/>
                      </m:rPr>
                      <w:rPr>
                        <w:rFonts w:ascii="Cambria Math" w:hAnsi="Cambria Math"/>
                      </w:rPr>
                      <m:t>=</m:t>
                    </m:r>
                    <m:r>
                      <m:rPr/>
                      <w:rPr>
                        <w:rFonts w:ascii="Cambria Math" w:hAnsi="Cambria Math"/>
                      </w:rPr>
                      <m:t>1</m:t>
                    </m:r>
                    <m:r>
                      <m:rPr>
                        <m:sty m:val="p"/>
                      </m:rPr>
                      <w:rPr>
                        <w:rFonts w:ascii="Cambria Math" w:hAnsi="Cambria Math"/>
                      </w:rPr>
                      <m:t>,</m:t>
                    </m:r>
                    <m:ctrlPr>
                      <w:rPr>
                        <w:rFonts w:ascii="Cambria Math" w:hAnsi="Cambria Math"/>
                      </w:rPr>
                    </m:ctrlPr>
                  </m:e>
                </m:mr>
                <m:mr>
                  <m:e>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DRX_idle</m:t>
                        </m:r>
                        <m:ctrlPr>
                          <w:rPr>
                            <w:rFonts w:ascii="Cambria Math" w:hAnsi="Cambria Math"/>
                          </w:rPr>
                        </m:ctrlPr>
                      </m:sub>
                    </m:sSub>
                    <m:d>
                      <m:dPr>
                        <m:ctrlPr>
                          <w:rPr>
                            <w:rFonts w:ascii="Cambria Math" w:hAnsi="Cambria Math"/>
                          </w:rPr>
                        </m:ctrlPr>
                      </m:dPr>
                      <m:e>
                        <m:r>
                          <m:rPr>
                            <m:nor/>
                            <m:sty m:val="p"/>
                          </m:rPr>
                          <w:rPr>
                            <w:b w:val="0"/>
                            <w:i w:val="0"/>
                          </w:rPr>
                          <m:t>legacy</m:t>
                        </m:r>
                        <m:ctrlPr>
                          <w:rPr>
                            <w:rFonts w:ascii="Cambria Math" w:hAnsi="Cambria Math"/>
                          </w:rPr>
                        </m:ctrlPr>
                      </m:e>
                    </m:d>
                    <m:ctrlPr>
                      <w:rPr>
                        <w:rFonts w:ascii="Cambria Math" w:hAnsi="Cambria Math"/>
                      </w:rPr>
                    </m:ctrlPr>
                  </m:e>
                  <m:e>
                    <m:r>
                      <m:rPr>
                        <m:nor/>
                        <m:sty m:val="p"/>
                      </m:rPr>
                      <w:rPr>
                        <w:b w:val="0"/>
                        <w:i w:val="0"/>
                      </w:rPr>
                      <m:t>if</m:t>
                    </m:r>
                    <m:r>
                      <m:rPr>
                        <m:nor/>
                        <m:sty m:val="p"/>
                      </m:rPr>
                      <w:rPr>
                        <w:rFonts w:ascii="DejaVu Math TeX Gyre" w:hAnsi="DejaVu Math TeX Gyre"/>
                        <w:b w:val="0"/>
                        <w:i w:val="0"/>
                        <w:lang w:eastAsia="zh-CN"/>
                      </w:rPr>
                      <m:t xml:space="preserve">  </m:t>
                    </m:r>
                    <m:sSub>
                      <m:sSubPr>
                        <m:ctrlPr>
                          <w:rPr>
                            <w:rFonts w:ascii="Cambria Math" w:hAnsi="Cambria Math"/>
                          </w:rPr>
                        </m:ctrlPr>
                      </m:sSubPr>
                      <m:e>
                        <m:r>
                          <m:rPr/>
                          <w:rPr>
                            <w:rFonts w:ascii="Cambria Math" w:hAnsi="Cambria Math"/>
                          </w:rPr>
                          <m:t>b</m:t>
                        </m:r>
                        <m:ctrlPr>
                          <w:rPr>
                            <w:rFonts w:ascii="Cambria Math" w:hAnsi="Cambria Math"/>
                          </w:rPr>
                        </m:ctrlPr>
                      </m:e>
                      <m:sub>
                        <m:r>
                          <m:rPr/>
                          <w:rPr>
                            <w:rFonts w:ascii="Cambria Math" w:hAnsi="Cambria Math"/>
                          </w:rPr>
                          <m:t>WUR</m:t>
                        </m:r>
                        <m:ctrlPr>
                          <w:rPr>
                            <w:rFonts w:ascii="Cambria Math" w:hAnsi="Cambria Math"/>
                          </w:rPr>
                        </m:ctrlPr>
                      </m:sub>
                    </m:sSub>
                    <m:r>
                      <m:rPr>
                        <m:sty m:val="p"/>
                      </m:rPr>
                      <w:rPr>
                        <w:rFonts w:ascii="Cambria Math" w:hAnsi="Cambria Math"/>
                      </w:rPr>
                      <m:t>=</m:t>
                    </m:r>
                    <m:r>
                      <m:rPr/>
                      <w:rPr>
                        <w:rFonts w:ascii="Cambria Math" w:hAnsi="Cambria Math"/>
                      </w:rPr>
                      <m:t>0</m:t>
                    </m:r>
                    <m:r>
                      <m:rPr>
                        <m:sty m:val="p"/>
                      </m:rPr>
                      <w:rPr>
                        <w:rFonts w:ascii="Cambria Math" w:hAnsi="Cambria Math"/>
                      </w:rPr>
                      <m:t>,</m:t>
                    </m:r>
                    <m:ctrlPr>
                      <w:rPr>
                        <w:rFonts w:ascii="Cambria Math" w:hAnsi="Cambria Math"/>
                      </w:rPr>
                    </m:ctrlPr>
                  </m:e>
                </m:mr>
              </m:m>
              <m:ctrlPr>
                <w:rPr>
                  <w:rFonts w:ascii="Cambria Math" w:hAnsi="Cambria Math"/>
                </w:rPr>
              </m:ctrlPr>
            </m:e>
          </m:d>
        </m:oMath>
      </m:oMathPara>
    </w:p>
    <w:p w14:paraId="430F60D6">
      <w:pPr>
        <w:pStyle w:val="83"/>
      </w:pPr>
      <w:r>
        <w:t xml:space="preserve">where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DRX_idle</m:t>
            </m:r>
            <m:ctrlPr>
              <w:rPr>
                <w:rFonts w:ascii="Cambria Math" w:hAnsi="Cambria Math"/>
              </w:rPr>
            </m:ctrlPr>
          </m:sub>
        </m:sSub>
      </m:oMath>
      <w:r>
        <w:t xml:space="preserve"> would be calculated from conventional DRX duty cycle. The model can thus “toggle” between legacy DRX behavior and WUS-augmented behavior. For devices that support both (e.g. a 6G smartphone might have a WUR but could choose to use it or not depending on network), the model can be used in both modes to evaluate energy gain.</w:t>
      </w:r>
    </w:p>
    <w:p w14:paraId="7FA8C456">
      <w:pPr>
        <w:pStyle w:val="5"/>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Observation 2</w:t>
      </w:r>
      <w:r>
        <w:rPr>
          <w:rFonts w:ascii="Times New Roman Bold Italic" w:hAnsi="Times New Roman Bold Italic" w:cs="Times New Roman Bold Italic"/>
          <w:b/>
          <w:bCs/>
          <w:i/>
          <w:iCs/>
          <w:lang w:eastAsia="zh-CN"/>
        </w:rPr>
        <w:t>1</w:t>
      </w:r>
      <w:r>
        <w:rPr>
          <w:rFonts w:hint="eastAsia" w:ascii="Times New Roman Bold Italic" w:hAnsi="Times New Roman Bold Italic" w:cs="Times New Roman Bold Italic"/>
          <w:b/>
          <w:bCs/>
          <w:i/>
          <w:iCs/>
          <w:lang w:eastAsia="zh-CN"/>
        </w:rPr>
        <w:t>:</w:t>
      </w:r>
      <w:r>
        <w:rPr>
          <w:rFonts w:ascii="Times New Roman Bold Italic" w:hAnsi="Times New Roman Bold Italic" w:cs="Times New Roman Bold Italic"/>
          <w:b/>
          <w:bCs/>
          <w:i/>
          <w:iCs/>
          <w:lang w:eastAsia="zh-CN"/>
        </w:rPr>
        <w:t>TR 38.869 introduces WUR power state into UE models enabling ultra low power idle by replacing frequent paging wake ups with continuous low power listening cutting idle consumption by up to tenfold.</w:t>
      </w:r>
    </w:p>
    <w:p w14:paraId="5A3B9389">
      <w:pPr>
        <w:pStyle w:val="5"/>
      </w:pPr>
    </w:p>
    <w:p w14:paraId="00E4FF12">
      <w:pPr>
        <w:pStyle w:val="5"/>
      </w:pPr>
      <w:r>
        <w:rPr>
          <w:b/>
          <w:bCs/>
        </w:rPr>
        <w:t>Parameter differences summary:</w:t>
      </w:r>
      <w:r>
        <w:t xml:space="preserve"> Table 5 provides a comparative view of key power model parameters/assumptions across the UE types from the discussed TRs:</w:t>
      </w:r>
    </w:p>
    <w:p w14:paraId="29DF8E32">
      <w:pPr>
        <w:pStyle w:val="5"/>
      </w:pPr>
      <w:r>
        <w:rPr>
          <w:i/>
          <w:iCs/>
        </w:rPr>
        <w:t>Table 5: Comparative overview of UE model parameters across baseline NR, RedCap, eRedCap, and LP-WUS studies.</w:t>
      </w:r>
      <w:r>
        <w:t xml:space="preserve"> (Sources: key values synthesized from TR 38.840, TR 38.875, TR 38.869 and 3GPP study outcomes.)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1728"/>
        <w:gridCol w:w="1728"/>
        <w:gridCol w:w="1728"/>
        <w:gridCol w:w="1728"/>
      </w:tblGrid>
      <w:tr w14:paraId="4DD32D14">
        <w:trPr>
          <w:jc w:val="center"/>
        </w:trPr>
        <w:tc>
          <w:tcPr>
            <w:tcW w:w="1728" w:type="dxa"/>
            <w:tcBorders>
              <w:tl2br w:val="nil"/>
              <w:tr2bl w:val="nil"/>
            </w:tcBorders>
          </w:tcPr>
          <w:p w14:paraId="467CEFEF">
            <w:pPr>
              <w:rPr>
                <w:sz w:val="18"/>
                <w:szCs w:val="18"/>
              </w:rPr>
            </w:pPr>
            <w:r>
              <w:rPr>
                <w:sz w:val="18"/>
                <w:szCs w:val="18"/>
              </w:rPr>
              <w:t>Parameter / Feature</w:t>
            </w:r>
          </w:p>
        </w:tc>
        <w:tc>
          <w:tcPr>
            <w:tcW w:w="1728" w:type="dxa"/>
            <w:tcBorders>
              <w:tl2br w:val="nil"/>
              <w:tr2bl w:val="nil"/>
            </w:tcBorders>
          </w:tcPr>
          <w:p w14:paraId="45706D11">
            <w:pPr>
              <w:rPr>
                <w:sz w:val="18"/>
                <w:szCs w:val="18"/>
              </w:rPr>
            </w:pPr>
            <w:r>
              <w:rPr>
                <w:sz w:val="18"/>
                <w:szCs w:val="18"/>
              </w:rPr>
              <w:t>Baseline eMBB UE (TR 38.840)</w:t>
            </w:r>
          </w:p>
        </w:tc>
        <w:tc>
          <w:tcPr>
            <w:tcW w:w="1728" w:type="dxa"/>
            <w:tcBorders>
              <w:tl2br w:val="nil"/>
              <w:tr2bl w:val="nil"/>
            </w:tcBorders>
          </w:tcPr>
          <w:p w14:paraId="543C6F49">
            <w:pPr>
              <w:rPr>
                <w:sz w:val="18"/>
                <w:szCs w:val="18"/>
              </w:rPr>
            </w:pPr>
            <w:r>
              <w:rPr>
                <w:sz w:val="18"/>
                <w:szCs w:val="18"/>
              </w:rPr>
              <w:t>RedCap UE (TR 38.875)</w:t>
            </w:r>
          </w:p>
        </w:tc>
        <w:tc>
          <w:tcPr>
            <w:tcW w:w="1728" w:type="dxa"/>
            <w:tcBorders>
              <w:tl2br w:val="nil"/>
              <w:tr2bl w:val="nil"/>
            </w:tcBorders>
          </w:tcPr>
          <w:p w14:paraId="34E0CE59">
            <w:pPr>
              <w:rPr>
                <w:sz w:val="18"/>
                <w:szCs w:val="18"/>
              </w:rPr>
            </w:pPr>
            <w:r>
              <w:rPr>
                <w:sz w:val="18"/>
                <w:szCs w:val="18"/>
              </w:rPr>
              <w:t>eRedCap UE (TR 38.865)</w:t>
            </w:r>
          </w:p>
        </w:tc>
        <w:tc>
          <w:tcPr>
            <w:tcW w:w="1728" w:type="dxa"/>
            <w:tcBorders>
              <w:tl2br w:val="nil"/>
              <w:tr2bl w:val="nil"/>
            </w:tcBorders>
          </w:tcPr>
          <w:p w14:paraId="7640B0C5">
            <w:pPr>
              <w:rPr>
                <w:sz w:val="18"/>
                <w:szCs w:val="18"/>
              </w:rPr>
            </w:pPr>
            <w:r>
              <w:rPr>
                <w:sz w:val="18"/>
                <w:szCs w:val="18"/>
              </w:rPr>
              <w:t>LP-WUS Feature (TR 38.869)</w:t>
            </w:r>
          </w:p>
        </w:tc>
      </w:tr>
      <w:tr w14:paraId="26A9DFB7">
        <w:trPr>
          <w:jc w:val="center"/>
        </w:trPr>
        <w:tc>
          <w:tcPr>
            <w:tcW w:w="1728" w:type="dxa"/>
            <w:tcBorders>
              <w:tl2br w:val="nil"/>
              <w:tr2bl w:val="nil"/>
            </w:tcBorders>
          </w:tcPr>
          <w:p w14:paraId="78ADC796">
            <w:pPr>
              <w:rPr>
                <w:sz w:val="18"/>
                <w:szCs w:val="18"/>
              </w:rPr>
            </w:pPr>
            <w:r>
              <w:rPr>
                <w:sz w:val="18"/>
                <w:szCs w:val="18"/>
              </w:rPr>
              <w:t>Max BW / Data Rate</w:t>
            </w:r>
          </w:p>
        </w:tc>
        <w:tc>
          <w:tcPr>
            <w:tcW w:w="1728" w:type="dxa"/>
            <w:tcBorders>
              <w:tl2br w:val="nil"/>
              <w:tr2bl w:val="nil"/>
            </w:tcBorders>
          </w:tcPr>
          <w:p w14:paraId="294D2651">
            <w:pPr>
              <w:rPr>
                <w:sz w:val="18"/>
                <w:szCs w:val="18"/>
              </w:rPr>
            </w:pPr>
            <w:r>
              <w:rPr>
                <w:sz w:val="18"/>
                <w:szCs w:val="18"/>
              </w:rPr>
              <w:t>Up to 100 MHz, ~1 Gbps+</w:t>
            </w:r>
          </w:p>
        </w:tc>
        <w:tc>
          <w:tcPr>
            <w:tcW w:w="1728" w:type="dxa"/>
            <w:tcBorders>
              <w:tl2br w:val="nil"/>
              <w:tr2bl w:val="nil"/>
            </w:tcBorders>
          </w:tcPr>
          <w:p w14:paraId="3785C9BD">
            <w:pPr>
              <w:rPr>
                <w:sz w:val="18"/>
                <w:szCs w:val="18"/>
              </w:rPr>
            </w:pPr>
            <w:r>
              <w:rPr>
                <w:sz w:val="18"/>
                <w:szCs w:val="18"/>
              </w:rPr>
              <w:t>20 MHz, ~150 Mbps</w:t>
            </w:r>
          </w:p>
        </w:tc>
        <w:tc>
          <w:tcPr>
            <w:tcW w:w="1728" w:type="dxa"/>
            <w:tcBorders>
              <w:tl2br w:val="nil"/>
              <w:tr2bl w:val="nil"/>
            </w:tcBorders>
          </w:tcPr>
          <w:p w14:paraId="3B827531">
            <w:pPr>
              <w:rPr>
                <w:sz w:val="18"/>
                <w:szCs w:val="18"/>
              </w:rPr>
            </w:pPr>
            <w:r>
              <w:rPr>
                <w:sz w:val="18"/>
                <w:szCs w:val="18"/>
              </w:rPr>
              <w:t>5 MHz, ~10 Mbps</w:t>
            </w:r>
          </w:p>
        </w:tc>
        <w:tc>
          <w:tcPr>
            <w:tcW w:w="1728" w:type="dxa"/>
            <w:tcBorders>
              <w:tl2br w:val="nil"/>
              <w:tr2bl w:val="nil"/>
            </w:tcBorders>
          </w:tcPr>
          <w:p w14:paraId="6B535D60">
            <w:pPr>
              <w:rPr>
                <w:sz w:val="18"/>
                <w:szCs w:val="18"/>
              </w:rPr>
            </w:pPr>
            <w:r>
              <w:rPr>
                <w:sz w:val="18"/>
                <w:szCs w:val="18"/>
              </w:rPr>
              <w:t>N/A (feature, not device type)</w:t>
            </w:r>
          </w:p>
        </w:tc>
      </w:tr>
      <w:tr w14:paraId="5D3D424B">
        <w:trPr>
          <w:jc w:val="center"/>
        </w:trPr>
        <w:tc>
          <w:tcPr>
            <w:tcW w:w="1728" w:type="dxa"/>
            <w:tcBorders>
              <w:tl2br w:val="nil"/>
              <w:tr2bl w:val="nil"/>
            </w:tcBorders>
          </w:tcPr>
          <w:p w14:paraId="251779C6">
            <w:pPr>
              <w:rPr>
                <w:sz w:val="18"/>
                <w:szCs w:val="18"/>
              </w:rPr>
            </w:pPr>
            <w:r>
              <w:rPr>
                <w:sz w:val="18"/>
                <w:szCs w:val="18"/>
              </w:rPr>
              <w:t>RF Chains (MIMO)</w:t>
            </w:r>
          </w:p>
        </w:tc>
        <w:tc>
          <w:tcPr>
            <w:tcW w:w="1728" w:type="dxa"/>
            <w:tcBorders>
              <w:tl2br w:val="nil"/>
              <w:tr2bl w:val="nil"/>
            </w:tcBorders>
          </w:tcPr>
          <w:p w14:paraId="5827B554">
            <w:pPr>
              <w:rPr>
                <w:sz w:val="18"/>
                <w:szCs w:val="18"/>
              </w:rPr>
            </w:pPr>
            <w:r>
              <w:rPr>
                <w:sz w:val="18"/>
                <w:szCs w:val="18"/>
              </w:rPr>
              <w:t>4 Rx, 2 Tx</w:t>
            </w:r>
          </w:p>
        </w:tc>
        <w:tc>
          <w:tcPr>
            <w:tcW w:w="1728" w:type="dxa"/>
            <w:tcBorders>
              <w:tl2br w:val="nil"/>
              <w:tr2bl w:val="nil"/>
            </w:tcBorders>
          </w:tcPr>
          <w:p w14:paraId="1A8F16D8">
            <w:pPr>
              <w:rPr>
                <w:sz w:val="18"/>
                <w:szCs w:val="18"/>
              </w:rPr>
            </w:pPr>
            <w:r>
              <w:rPr>
                <w:sz w:val="18"/>
                <w:szCs w:val="18"/>
              </w:rPr>
              <w:t>1 Rx, 1 Tx</w:t>
            </w:r>
          </w:p>
        </w:tc>
        <w:tc>
          <w:tcPr>
            <w:tcW w:w="1728" w:type="dxa"/>
            <w:tcBorders>
              <w:tl2br w:val="nil"/>
              <w:tr2bl w:val="nil"/>
            </w:tcBorders>
          </w:tcPr>
          <w:p w14:paraId="6E3C89BC">
            <w:pPr>
              <w:rPr>
                <w:sz w:val="18"/>
                <w:szCs w:val="18"/>
              </w:rPr>
            </w:pPr>
            <w:r>
              <w:rPr>
                <w:sz w:val="18"/>
                <w:szCs w:val="18"/>
              </w:rPr>
              <w:t>1 Rx, 1 Tx</w:t>
            </w:r>
          </w:p>
        </w:tc>
        <w:tc>
          <w:tcPr>
            <w:tcW w:w="1728" w:type="dxa"/>
            <w:tcBorders>
              <w:tl2br w:val="nil"/>
              <w:tr2bl w:val="nil"/>
            </w:tcBorders>
          </w:tcPr>
          <w:p w14:paraId="554482F2">
            <w:pPr>
              <w:rPr>
                <w:sz w:val="18"/>
                <w:szCs w:val="18"/>
              </w:rPr>
            </w:pPr>
            <w:r>
              <w:rPr>
                <w:sz w:val="18"/>
                <w:szCs w:val="18"/>
              </w:rPr>
              <w:t>Adds ultra-low-power WUR Rx</w:t>
            </w:r>
          </w:p>
        </w:tc>
      </w:tr>
      <w:tr w14:paraId="6E9EBD40">
        <w:trPr>
          <w:jc w:val="center"/>
        </w:trPr>
        <w:tc>
          <w:tcPr>
            <w:tcW w:w="1728" w:type="dxa"/>
            <w:tcBorders>
              <w:tl2br w:val="nil"/>
              <w:tr2bl w:val="nil"/>
            </w:tcBorders>
          </w:tcPr>
          <w:p w14:paraId="7ADF0E3D">
            <w:pPr>
              <w:rPr>
                <w:sz w:val="18"/>
                <w:szCs w:val="18"/>
              </w:rPr>
            </w:pPr>
            <w:r>
              <w:rPr>
                <w:sz w:val="18"/>
                <w:szCs w:val="18"/>
              </w:rPr>
              <w:t>Idle/Inactive DRX</w:t>
            </w:r>
          </w:p>
        </w:tc>
        <w:tc>
          <w:tcPr>
            <w:tcW w:w="1728" w:type="dxa"/>
            <w:tcBorders>
              <w:tl2br w:val="nil"/>
              <w:tr2bl w:val="nil"/>
            </w:tcBorders>
          </w:tcPr>
          <w:p w14:paraId="32D8A6BC">
            <w:pPr>
              <w:rPr>
                <w:sz w:val="18"/>
                <w:szCs w:val="18"/>
              </w:rPr>
            </w:pPr>
            <w:r>
              <w:rPr>
                <w:sz w:val="18"/>
                <w:szCs w:val="18"/>
              </w:rPr>
              <w:t>160 ms typical</w:t>
            </w:r>
          </w:p>
        </w:tc>
        <w:tc>
          <w:tcPr>
            <w:tcW w:w="1728" w:type="dxa"/>
            <w:tcBorders>
              <w:tl2br w:val="nil"/>
              <w:tr2bl w:val="nil"/>
            </w:tcBorders>
          </w:tcPr>
          <w:p w14:paraId="22EC16D5">
            <w:pPr>
              <w:rPr>
                <w:sz w:val="18"/>
                <w:szCs w:val="18"/>
              </w:rPr>
            </w:pPr>
            <w:r>
              <w:rPr>
                <w:sz w:val="18"/>
                <w:szCs w:val="18"/>
              </w:rPr>
              <w:t>Extended DRX: seconds</w:t>
            </w:r>
          </w:p>
        </w:tc>
        <w:tc>
          <w:tcPr>
            <w:tcW w:w="1728" w:type="dxa"/>
            <w:tcBorders>
              <w:tl2br w:val="nil"/>
              <w:tr2bl w:val="nil"/>
            </w:tcBorders>
          </w:tcPr>
          <w:p w14:paraId="0CD4C550">
            <w:pPr>
              <w:rPr>
                <w:sz w:val="18"/>
                <w:szCs w:val="18"/>
              </w:rPr>
            </w:pPr>
            <w:r>
              <w:rPr>
                <w:sz w:val="18"/>
                <w:szCs w:val="18"/>
              </w:rPr>
              <w:t>Long eDRX (Inactive)</w:t>
            </w:r>
          </w:p>
        </w:tc>
        <w:tc>
          <w:tcPr>
            <w:tcW w:w="1728" w:type="dxa"/>
            <w:tcBorders>
              <w:tl2br w:val="nil"/>
              <w:tr2bl w:val="nil"/>
            </w:tcBorders>
          </w:tcPr>
          <w:p w14:paraId="757773A4">
            <w:pPr>
              <w:rPr>
                <w:sz w:val="18"/>
                <w:szCs w:val="18"/>
              </w:rPr>
            </w:pPr>
            <w:r>
              <w:rPr>
                <w:sz w:val="18"/>
                <w:szCs w:val="18"/>
              </w:rPr>
              <w:t>No periodic wake; WUS triggered</w:t>
            </w:r>
          </w:p>
        </w:tc>
      </w:tr>
      <w:tr w14:paraId="578DA47C">
        <w:trPr>
          <w:jc w:val="center"/>
        </w:trPr>
        <w:tc>
          <w:tcPr>
            <w:tcW w:w="1728" w:type="dxa"/>
            <w:tcBorders>
              <w:tl2br w:val="nil"/>
              <w:tr2bl w:val="nil"/>
            </w:tcBorders>
          </w:tcPr>
          <w:p w14:paraId="110636CD">
            <w:pPr>
              <w:rPr>
                <w:sz w:val="18"/>
                <w:szCs w:val="18"/>
              </w:rPr>
            </w:pPr>
            <w:r>
              <w:rPr>
                <w:sz w:val="18"/>
                <w:szCs w:val="18"/>
              </w:rPr>
              <w:t>Target Battery Life</w:t>
            </w:r>
          </w:p>
        </w:tc>
        <w:tc>
          <w:tcPr>
            <w:tcW w:w="1728" w:type="dxa"/>
            <w:tcBorders>
              <w:tl2br w:val="nil"/>
              <w:tr2bl w:val="nil"/>
            </w:tcBorders>
          </w:tcPr>
          <w:p w14:paraId="38489358">
            <w:pPr>
              <w:rPr>
                <w:sz w:val="18"/>
                <w:szCs w:val="18"/>
              </w:rPr>
            </w:pPr>
            <w:r>
              <w:rPr>
                <w:sz w:val="18"/>
                <w:szCs w:val="18"/>
              </w:rPr>
              <w:t>1 day–1 week</w:t>
            </w:r>
          </w:p>
        </w:tc>
        <w:tc>
          <w:tcPr>
            <w:tcW w:w="1728" w:type="dxa"/>
            <w:tcBorders>
              <w:tl2br w:val="nil"/>
              <w:tr2bl w:val="nil"/>
            </w:tcBorders>
          </w:tcPr>
          <w:p w14:paraId="1B3B9017">
            <w:pPr>
              <w:rPr>
                <w:sz w:val="18"/>
                <w:szCs w:val="18"/>
              </w:rPr>
            </w:pPr>
            <w:r>
              <w:rPr>
                <w:sz w:val="18"/>
                <w:szCs w:val="18"/>
              </w:rPr>
              <w:t>Wearables: 1–2 weeks; Sensors: years</w:t>
            </w:r>
          </w:p>
        </w:tc>
        <w:tc>
          <w:tcPr>
            <w:tcW w:w="1728" w:type="dxa"/>
            <w:tcBorders>
              <w:tl2br w:val="nil"/>
              <w:tr2bl w:val="nil"/>
            </w:tcBorders>
          </w:tcPr>
          <w:p w14:paraId="04DF25EF">
            <w:pPr>
              <w:rPr>
                <w:sz w:val="18"/>
                <w:szCs w:val="18"/>
              </w:rPr>
            </w:pPr>
            <w:r>
              <w:rPr>
                <w:sz w:val="18"/>
                <w:szCs w:val="18"/>
              </w:rPr>
              <w:t>Years (depending on DRX)</w:t>
            </w:r>
          </w:p>
        </w:tc>
        <w:tc>
          <w:tcPr>
            <w:tcW w:w="1728" w:type="dxa"/>
            <w:tcBorders>
              <w:tl2br w:val="nil"/>
              <w:tr2bl w:val="nil"/>
            </w:tcBorders>
          </w:tcPr>
          <w:p w14:paraId="321EAA87">
            <w:pPr>
              <w:rPr>
                <w:sz w:val="18"/>
                <w:szCs w:val="18"/>
              </w:rPr>
            </w:pPr>
            <w:r>
              <w:rPr>
                <w:sz w:val="18"/>
                <w:szCs w:val="18"/>
              </w:rPr>
              <w:t>10+ years (with WUR)</w:t>
            </w:r>
          </w:p>
        </w:tc>
      </w:tr>
      <w:bookmarkEnd w:id="6"/>
    </w:tbl>
    <w:p w14:paraId="476E3221">
      <w:pPr>
        <w:rPr>
          <w:rFonts w:ascii="Times New Roman Bold Italic" w:hAnsi="Times New Roman Bold Italic" w:cs="Times New Roman Bold Italic"/>
          <w:b/>
          <w:bCs/>
          <w:i/>
          <w:iCs/>
          <w:lang w:eastAsia="zh-CN"/>
        </w:rPr>
      </w:pPr>
      <w:bookmarkStart w:id="7" w:name="unified-6g-ue-power-model-proposal"/>
    </w:p>
    <w:p w14:paraId="657FCFCD">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22: From NR UE perspective, there is different UE model parameters being concluded below</w:t>
      </w:r>
    </w:p>
    <w:p w14:paraId="29E54A7F">
      <w:pPr>
        <w:pStyle w:val="5"/>
        <w:rPr>
          <w:rFonts w:ascii="Times New Roman Bold Italic" w:hAnsi="Times New Roman Bold Italic" w:cs="Times New Roman Bold Italic"/>
          <w:b/>
          <w:bCs/>
        </w:rPr>
      </w:pPr>
      <w:r>
        <w:rPr>
          <w:rFonts w:ascii="Times New Roman Bold Italic" w:hAnsi="Times New Roman Bold Italic" w:cs="Times New Roman Bold Italic"/>
          <w:b/>
          <w:bCs/>
          <w:i/>
          <w:iCs/>
        </w:rPr>
        <w:t>Table 5: Comparative overview of UE model parameters across baseline NR, RedCap, eRedCap, and LP-WUS studies.</w:t>
      </w:r>
      <w:r>
        <w:rPr>
          <w:rFonts w:ascii="Times New Roman Bold Italic" w:hAnsi="Times New Roman Bold Italic" w:cs="Times New Roman Bold Italic"/>
          <w:b/>
          <w:bCs/>
        </w:rPr>
        <w:t xml:space="preserve"> (Sources: key values synthesized from TR 38.840, TR 38.875, TR 38.869 and 3GPP study outcomes.)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1728"/>
        <w:gridCol w:w="1728"/>
        <w:gridCol w:w="1728"/>
        <w:gridCol w:w="1728"/>
      </w:tblGrid>
      <w:tr w14:paraId="7EA3165F">
        <w:trPr>
          <w:jc w:val="center"/>
        </w:trPr>
        <w:tc>
          <w:tcPr>
            <w:tcW w:w="1728" w:type="dxa"/>
            <w:tcBorders>
              <w:tl2br w:val="nil"/>
              <w:tr2bl w:val="nil"/>
            </w:tcBorders>
          </w:tcPr>
          <w:p w14:paraId="30735AF8">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Parameter / Feature</w:t>
            </w:r>
          </w:p>
        </w:tc>
        <w:tc>
          <w:tcPr>
            <w:tcW w:w="1728" w:type="dxa"/>
            <w:tcBorders>
              <w:tl2br w:val="nil"/>
              <w:tr2bl w:val="nil"/>
            </w:tcBorders>
          </w:tcPr>
          <w:p w14:paraId="14266F4F">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Baseline eMBB UE (TR 38.840)</w:t>
            </w:r>
          </w:p>
        </w:tc>
        <w:tc>
          <w:tcPr>
            <w:tcW w:w="1728" w:type="dxa"/>
            <w:tcBorders>
              <w:tl2br w:val="nil"/>
              <w:tr2bl w:val="nil"/>
            </w:tcBorders>
          </w:tcPr>
          <w:p w14:paraId="4FFFC797">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RedCap UE (TR 38.875)</w:t>
            </w:r>
          </w:p>
        </w:tc>
        <w:tc>
          <w:tcPr>
            <w:tcW w:w="1728" w:type="dxa"/>
            <w:tcBorders>
              <w:tl2br w:val="nil"/>
              <w:tr2bl w:val="nil"/>
            </w:tcBorders>
          </w:tcPr>
          <w:p w14:paraId="00B674BD">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eRedCap UE (TR 38.865)</w:t>
            </w:r>
          </w:p>
        </w:tc>
        <w:tc>
          <w:tcPr>
            <w:tcW w:w="1728" w:type="dxa"/>
            <w:tcBorders>
              <w:tl2br w:val="nil"/>
              <w:tr2bl w:val="nil"/>
            </w:tcBorders>
          </w:tcPr>
          <w:p w14:paraId="5EEF6362">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LP-WUS Feature (TR 38.869)</w:t>
            </w:r>
          </w:p>
        </w:tc>
      </w:tr>
      <w:tr w14:paraId="1F84DC97">
        <w:trPr>
          <w:jc w:val="center"/>
        </w:trPr>
        <w:tc>
          <w:tcPr>
            <w:tcW w:w="1728" w:type="dxa"/>
            <w:tcBorders>
              <w:tl2br w:val="nil"/>
              <w:tr2bl w:val="nil"/>
            </w:tcBorders>
          </w:tcPr>
          <w:p w14:paraId="65A3310F">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Max BW / Data Rate</w:t>
            </w:r>
          </w:p>
        </w:tc>
        <w:tc>
          <w:tcPr>
            <w:tcW w:w="1728" w:type="dxa"/>
            <w:tcBorders>
              <w:tl2br w:val="nil"/>
              <w:tr2bl w:val="nil"/>
            </w:tcBorders>
          </w:tcPr>
          <w:p w14:paraId="6A7E0ECB">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Up to 100 MHz, ~1 Gbps+</w:t>
            </w:r>
          </w:p>
        </w:tc>
        <w:tc>
          <w:tcPr>
            <w:tcW w:w="1728" w:type="dxa"/>
            <w:tcBorders>
              <w:tl2br w:val="nil"/>
              <w:tr2bl w:val="nil"/>
            </w:tcBorders>
          </w:tcPr>
          <w:p w14:paraId="29DB29A6">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20 MHz, ~150 Mbps</w:t>
            </w:r>
          </w:p>
        </w:tc>
        <w:tc>
          <w:tcPr>
            <w:tcW w:w="1728" w:type="dxa"/>
            <w:tcBorders>
              <w:tl2br w:val="nil"/>
              <w:tr2bl w:val="nil"/>
            </w:tcBorders>
          </w:tcPr>
          <w:p w14:paraId="68562E42">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5 MHz, ~10 Mbps</w:t>
            </w:r>
          </w:p>
        </w:tc>
        <w:tc>
          <w:tcPr>
            <w:tcW w:w="1728" w:type="dxa"/>
            <w:tcBorders>
              <w:tl2br w:val="nil"/>
              <w:tr2bl w:val="nil"/>
            </w:tcBorders>
          </w:tcPr>
          <w:p w14:paraId="11ABDD22">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N/A (feature, not device type)</w:t>
            </w:r>
          </w:p>
        </w:tc>
      </w:tr>
      <w:tr w14:paraId="2BEC47FE">
        <w:trPr>
          <w:jc w:val="center"/>
        </w:trPr>
        <w:tc>
          <w:tcPr>
            <w:tcW w:w="1728" w:type="dxa"/>
            <w:tcBorders>
              <w:tl2br w:val="nil"/>
              <w:tr2bl w:val="nil"/>
            </w:tcBorders>
          </w:tcPr>
          <w:p w14:paraId="619E060D">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RF Chains (MIMO)</w:t>
            </w:r>
          </w:p>
        </w:tc>
        <w:tc>
          <w:tcPr>
            <w:tcW w:w="1728" w:type="dxa"/>
            <w:tcBorders>
              <w:tl2br w:val="nil"/>
              <w:tr2bl w:val="nil"/>
            </w:tcBorders>
          </w:tcPr>
          <w:p w14:paraId="6C283845">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4 Rx, 2 Tx</w:t>
            </w:r>
          </w:p>
        </w:tc>
        <w:tc>
          <w:tcPr>
            <w:tcW w:w="1728" w:type="dxa"/>
            <w:tcBorders>
              <w:tl2br w:val="nil"/>
              <w:tr2bl w:val="nil"/>
            </w:tcBorders>
          </w:tcPr>
          <w:p w14:paraId="4BDB3FBB">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1 Rx, 1 Tx</w:t>
            </w:r>
          </w:p>
        </w:tc>
        <w:tc>
          <w:tcPr>
            <w:tcW w:w="1728" w:type="dxa"/>
            <w:tcBorders>
              <w:tl2br w:val="nil"/>
              <w:tr2bl w:val="nil"/>
            </w:tcBorders>
          </w:tcPr>
          <w:p w14:paraId="054F3630">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1 Rx, 1 Tx</w:t>
            </w:r>
          </w:p>
        </w:tc>
        <w:tc>
          <w:tcPr>
            <w:tcW w:w="1728" w:type="dxa"/>
            <w:tcBorders>
              <w:tl2br w:val="nil"/>
              <w:tr2bl w:val="nil"/>
            </w:tcBorders>
          </w:tcPr>
          <w:p w14:paraId="1B770F38">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Adds ultra-low-power WUR Rx</w:t>
            </w:r>
          </w:p>
        </w:tc>
      </w:tr>
      <w:tr w14:paraId="1454F5F3">
        <w:trPr>
          <w:jc w:val="center"/>
        </w:trPr>
        <w:tc>
          <w:tcPr>
            <w:tcW w:w="1728" w:type="dxa"/>
            <w:tcBorders>
              <w:tl2br w:val="nil"/>
              <w:tr2bl w:val="nil"/>
            </w:tcBorders>
          </w:tcPr>
          <w:p w14:paraId="5D614C5A">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Idle/Inactive DRX</w:t>
            </w:r>
          </w:p>
        </w:tc>
        <w:tc>
          <w:tcPr>
            <w:tcW w:w="1728" w:type="dxa"/>
            <w:tcBorders>
              <w:tl2br w:val="nil"/>
              <w:tr2bl w:val="nil"/>
            </w:tcBorders>
          </w:tcPr>
          <w:p w14:paraId="4FC6E9E9">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160 ms typical</w:t>
            </w:r>
          </w:p>
        </w:tc>
        <w:tc>
          <w:tcPr>
            <w:tcW w:w="1728" w:type="dxa"/>
            <w:tcBorders>
              <w:tl2br w:val="nil"/>
              <w:tr2bl w:val="nil"/>
            </w:tcBorders>
          </w:tcPr>
          <w:p w14:paraId="3CC6DC28">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Extended DRX: seconds</w:t>
            </w:r>
          </w:p>
        </w:tc>
        <w:tc>
          <w:tcPr>
            <w:tcW w:w="1728" w:type="dxa"/>
            <w:tcBorders>
              <w:tl2br w:val="nil"/>
              <w:tr2bl w:val="nil"/>
            </w:tcBorders>
          </w:tcPr>
          <w:p w14:paraId="37CC0004">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Long eDRX (Inactive)</w:t>
            </w:r>
          </w:p>
        </w:tc>
        <w:tc>
          <w:tcPr>
            <w:tcW w:w="1728" w:type="dxa"/>
            <w:tcBorders>
              <w:tl2br w:val="nil"/>
              <w:tr2bl w:val="nil"/>
            </w:tcBorders>
          </w:tcPr>
          <w:p w14:paraId="1B2E93E9">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No periodic wake; WUS triggered</w:t>
            </w:r>
          </w:p>
        </w:tc>
      </w:tr>
      <w:tr w14:paraId="3C73825D">
        <w:trPr>
          <w:jc w:val="center"/>
        </w:trPr>
        <w:tc>
          <w:tcPr>
            <w:tcW w:w="1728" w:type="dxa"/>
            <w:tcBorders>
              <w:tl2br w:val="nil"/>
              <w:tr2bl w:val="nil"/>
            </w:tcBorders>
          </w:tcPr>
          <w:p w14:paraId="19E7FE86">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Target Battery Life</w:t>
            </w:r>
          </w:p>
        </w:tc>
        <w:tc>
          <w:tcPr>
            <w:tcW w:w="1728" w:type="dxa"/>
            <w:tcBorders>
              <w:tl2br w:val="nil"/>
              <w:tr2bl w:val="nil"/>
            </w:tcBorders>
          </w:tcPr>
          <w:p w14:paraId="33F63910">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1 day–1 week</w:t>
            </w:r>
          </w:p>
        </w:tc>
        <w:tc>
          <w:tcPr>
            <w:tcW w:w="1728" w:type="dxa"/>
            <w:tcBorders>
              <w:tl2br w:val="nil"/>
              <w:tr2bl w:val="nil"/>
            </w:tcBorders>
          </w:tcPr>
          <w:p w14:paraId="514E8A65">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Wearables: 1–2 weeks; Sensors: years</w:t>
            </w:r>
          </w:p>
        </w:tc>
        <w:tc>
          <w:tcPr>
            <w:tcW w:w="1728" w:type="dxa"/>
            <w:tcBorders>
              <w:tl2br w:val="nil"/>
              <w:tr2bl w:val="nil"/>
            </w:tcBorders>
          </w:tcPr>
          <w:p w14:paraId="61CBBF71">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Years (depending on DRX)</w:t>
            </w:r>
          </w:p>
        </w:tc>
        <w:tc>
          <w:tcPr>
            <w:tcW w:w="1728" w:type="dxa"/>
            <w:tcBorders>
              <w:tl2br w:val="nil"/>
              <w:tr2bl w:val="nil"/>
            </w:tcBorders>
          </w:tcPr>
          <w:p w14:paraId="37B9FA25">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10+ years (with WUR)</w:t>
            </w:r>
          </w:p>
        </w:tc>
      </w:tr>
    </w:tbl>
    <w:p w14:paraId="1FD8946D"/>
    <w:p w14:paraId="7CAC96D0">
      <w:pPr>
        <w:pStyle w:val="4"/>
        <w:tabs>
          <w:tab w:val="clear" w:pos="432"/>
        </w:tabs>
      </w:pPr>
      <w:r>
        <w:t xml:space="preserve"> Unified 6G UE power models</w:t>
      </w:r>
    </w:p>
    <w:p w14:paraId="54010B1E">
      <w:pPr>
        <w:pStyle w:val="83"/>
      </w:pPr>
      <w:r>
        <w:t xml:space="preserve">Given the above, it is feasible to strive for a </w:t>
      </w:r>
      <w:r>
        <w:rPr>
          <w:b/>
          <w:bCs/>
        </w:rPr>
        <w:t>unified UE power consumption model for 6G day 1</w:t>
      </w:r>
      <w:r>
        <w:t xml:space="preserve"> that covers the full range of device types – from ultra-high-performance handsets to ultra-low-power IoT nodes. The idea is to create a single parametric model where specific devices are described by parameter settings. If unification proves too complex (due to fundamentally different behaviors), the model can be extended with device-type-specific parameters or states, but still under one framework.</w:t>
      </w:r>
    </w:p>
    <w:p w14:paraId="5A382924">
      <w:pPr>
        <w:pStyle w:val="5"/>
        <w:numPr>
          <w:ilvl w:val="0"/>
          <w:numId w:val="19"/>
        </w:numPr>
      </w:pPr>
      <w:r>
        <w:rPr>
          <w:rFonts w:ascii="Times New Roman Bold Italic" w:hAnsi="Times New Roman Bold Italic" w:cs="Times New Roman Bold Italic"/>
          <w:b/>
          <w:bCs/>
          <w:i/>
          <w:iCs/>
          <w:u w:val="single"/>
        </w:rPr>
        <w:t>Unified model structure:</w:t>
      </w:r>
      <w:r>
        <w:t xml:space="preserve"> We propose the 6G UE power model be structured around power states and state transitions, common to all UEs: </w:t>
      </w:r>
    </w:p>
    <w:p w14:paraId="02C0F740">
      <w:pPr>
        <w:pStyle w:val="5"/>
        <w:numPr>
          <w:ilvl w:val="0"/>
          <w:numId w:val="20"/>
        </w:numPr>
        <w:ind w:left="840"/>
      </w:pPr>
      <w:r>
        <w:t xml:space="preserve">RRC CONNECTED Active: UE actively transmitting or receiving data. Power depends on transmit power, bandwidth, MIMO layers, etc. (We will parameterize this by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Tx</m:t>
            </m:r>
            <m:ctrlPr>
              <w:rPr>
                <w:rFonts w:ascii="Cambria Math" w:hAnsi="Cambria Math"/>
              </w:rPr>
            </m:ctrlPr>
          </m:sub>
        </m:sSub>
        <m:r>
          <m:rPr/>
          <w:rPr>
            <w:rFonts w:ascii="Cambria Math" w:hAnsi="Cambria Math"/>
          </w:rPr>
          <m:t>,BW</m:t>
        </m:r>
      </m:oMath>
      <w:r>
        <w:t xml:space="preserve">, modulation, etc.) </w:t>
      </w:r>
    </w:p>
    <w:p w14:paraId="29CA40BA">
      <w:pPr>
        <w:pStyle w:val="5"/>
        <w:numPr>
          <w:ilvl w:val="0"/>
          <w:numId w:val="20"/>
        </w:numPr>
        <w:ind w:left="840"/>
      </w:pPr>
      <w:r>
        <w:t xml:space="preserve">RRC CONNECTED Inactive/DRX: UE in connected mode but in DRX sleep (no data currently). Power is similar to Idle DRX – periodic waking to monitor control channels. </w:t>
      </w:r>
    </w:p>
    <w:p w14:paraId="4AB38881">
      <w:pPr>
        <w:pStyle w:val="5"/>
        <w:numPr>
          <w:ilvl w:val="0"/>
          <w:numId w:val="20"/>
        </w:numPr>
        <w:ind w:left="840"/>
      </w:pPr>
      <w:r>
        <w:t xml:space="preserve">RRC INACTIVE (if supported in 6G): UE in the 5G/6G inactive state. Similar behavior to Idle DRX or possibly using WUS. </w:t>
      </w:r>
    </w:p>
    <w:p w14:paraId="172F3B27">
      <w:pPr>
        <w:pStyle w:val="5"/>
        <w:numPr>
          <w:ilvl w:val="0"/>
          <w:numId w:val="20"/>
        </w:numPr>
        <w:ind w:left="840"/>
      </w:pPr>
      <w:r>
        <w:t xml:space="preserve">RRC IDLE: UE camping on cell, waking for paging or cell updates. </w:t>
      </w:r>
    </w:p>
    <w:p w14:paraId="332CBC70">
      <w:pPr>
        <w:pStyle w:val="5"/>
        <w:numPr>
          <w:ilvl w:val="0"/>
          <w:numId w:val="20"/>
        </w:numPr>
        <w:ind w:left="840"/>
      </w:pPr>
      <w:r>
        <w:t>OFF/Deep Sleep: UE effectively off or in deepest sleep (e.g. airplane mode or power off of radio).</w:t>
      </w:r>
    </w:p>
    <w:p w14:paraId="4947872B">
      <w:pPr>
        <w:pStyle w:val="5"/>
      </w:pPr>
      <w:r>
        <w:t xml:space="preserve">Rather than having completely separate models for RedCap vs regular, we incorporate scaling factors for each state: </w:t>
      </w:r>
    </w:p>
    <w:p w14:paraId="6B425E12">
      <w:pPr>
        <w:pStyle w:val="5"/>
        <w:numPr>
          <w:ilvl w:val="0"/>
          <w:numId w:val="21"/>
        </w:numPr>
        <w:ind w:left="840"/>
      </w:pPr>
      <w:r>
        <w:t xml:space="preserve">Scaling of Active power by capability: e.g.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Tx,active</m:t>
            </m:r>
            <m:ctrlPr>
              <w:rPr>
                <w:rFonts w:ascii="Cambria Math" w:hAnsi="Cambria Math"/>
              </w:rPr>
            </m:ctrlPr>
          </m:sub>
        </m:sSub>
      </m:oMath>
      <w:r>
        <w:t xml:space="preserve"> could be modeled as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0</m:t>
            </m:r>
            <m:ctrlPr>
              <w:rPr>
                <w:rFonts w:ascii="Cambria Math" w:hAnsi="Cambria Math"/>
              </w:rPr>
            </m:ctrlPr>
          </m:sub>
        </m:sSub>
        <m:r>
          <m:rPr/>
          <w:rPr>
            <w:rFonts w:ascii="Cambria Math" w:hAnsi="Cambria Math"/>
          </w:rPr>
          <m:t>+α</m:t>
        </m:r>
        <m:r>
          <m:rPr/>
          <w:rPr>
            <w:rFonts w:ascii="DejaVu Math TeX Gyre" w:hAnsi="DejaVu Math TeX Gyre"/>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RF</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Tx</m:t>
            </m:r>
            <m:ctrlPr>
              <w:rPr>
                <w:rFonts w:ascii="Cambria Math" w:hAnsi="Cambria Math"/>
              </w:rPr>
            </m:ctrlPr>
          </m:sub>
        </m:sSub>
        <m:r>
          <m:rPr/>
          <w:rPr>
            <w:rFonts w:ascii="Cambria Math" w:hAnsi="Cambria Math"/>
          </w:rPr>
          <m:t>,BW)</m:t>
        </m:r>
      </m:oMath>
      <w:r>
        <w:t xml:space="preserve"> where </w:t>
      </w:r>
      <m:oMath>
        <m:r>
          <m:rPr/>
          <w:rPr>
            <w:rFonts w:ascii="Cambria Math" w:hAnsi="Cambria Math"/>
          </w:rPr>
          <m:t>α</m:t>
        </m:r>
      </m:oMath>
      <w:r>
        <w:t xml:space="preserve"> might represent utilization and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RF</m:t>
            </m:r>
            <m:ctrlPr>
              <w:rPr>
                <w:rFonts w:ascii="Cambria Math" w:hAnsi="Cambria Math"/>
              </w:rPr>
            </m:ctrlPr>
          </m:sub>
        </m:sSub>
      </m:oMath>
      <w:r>
        <w:t xml:space="preserve"> is a function increasing with number of RF chains and bandwidth. A high-end UE with 4x4 MIMO and 100 MHz might have a larger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RF</m:t>
            </m:r>
            <m:ctrlPr>
              <w:rPr>
                <w:rFonts w:ascii="Cambria Math" w:hAnsi="Cambria Math"/>
              </w:rPr>
            </m:ctrlPr>
          </m:sub>
        </m:sSub>
      </m:oMath>
      <w:r>
        <w:t xml:space="preserve"> than a 1x1 20 MHz device. We can use linear or empirical formulas fitted to known device power profiles. For example, one might start with a linear approximation: </w:t>
      </w:r>
      <m:oMath>
        <m:sSub>
          <m:sSubPr>
            <m:ctrlPr>
              <w:rPr>
                <w:rFonts w:ascii="DejaVu Math TeX Gyre" w:hAnsi="DejaVu Math TeX Gyre" w:cs="Times New Roman Regular"/>
                <w:i/>
                <w:iCs/>
              </w:rPr>
            </m:ctrlPr>
          </m:sSubPr>
          <m:e>
            <m:r>
              <m:rPr/>
              <w:rPr>
                <w:rFonts w:ascii="DejaVu Math TeX Gyre" w:hAnsi="DejaVu Math TeX Gyre" w:cs="Times New Roman Regular"/>
              </w:rPr>
              <m:t>P</m:t>
            </m:r>
            <m:ctrlPr>
              <w:rPr>
                <w:rFonts w:ascii="DejaVu Math TeX Gyre" w:hAnsi="DejaVu Math TeX Gyre" w:cs="Times New Roman Regular"/>
                <w:i/>
                <w:iCs/>
              </w:rPr>
            </m:ctrlPr>
          </m:e>
          <m:sub>
            <m:r>
              <m:rPr/>
              <w:rPr>
                <w:rFonts w:ascii="DejaVu Math TeX Gyre" w:hAnsi="DejaVu Math TeX Gyre" w:cs="Times New Roman Regular"/>
              </w:rPr>
              <m:t>active</m:t>
            </m:r>
            <m:ctrlPr>
              <w:rPr>
                <w:rFonts w:ascii="DejaVu Math TeX Gyre" w:hAnsi="DejaVu Math TeX Gyre" w:cs="Times New Roman Regular"/>
                <w:i/>
                <w:iCs/>
              </w:rPr>
            </m:ctrlPr>
          </m:sub>
        </m:sSub>
        <m:r>
          <m:rPr/>
          <w:rPr>
            <w:rFonts w:ascii="DejaVu Math TeX Gyre" w:hAnsi="DejaVu Math TeX Gyre" w:cs="Times New Roman Regular"/>
          </w:rPr>
          <m:t>≈</m:t>
        </m:r>
        <m:sSub>
          <m:sSubPr>
            <m:ctrlPr>
              <w:rPr>
                <w:rFonts w:ascii="DejaVu Math TeX Gyre" w:hAnsi="DejaVu Math TeX Gyre" w:cs="Times New Roman Regular"/>
                <w:i/>
                <w:iCs/>
              </w:rPr>
            </m:ctrlPr>
          </m:sSubPr>
          <m:e>
            <m:r>
              <m:rPr/>
              <w:rPr>
                <w:rFonts w:ascii="DejaVu Math TeX Gyre" w:hAnsi="DejaVu Math TeX Gyre" w:cs="Times New Roman Regular"/>
              </w:rPr>
              <m:t>C</m:t>
            </m:r>
            <m:ctrlPr>
              <w:rPr>
                <w:rFonts w:ascii="DejaVu Math TeX Gyre" w:hAnsi="DejaVu Math TeX Gyre" w:cs="Times New Roman Regular"/>
                <w:i/>
                <w:iCs/>
              </w:rPr>
            </m:ctrlPr>
          </m:e>
          <m:sub>
            <m:r>
              <m:rPr/>
              <w:rPr>
                <w:rFonts w:ascii="DejaVu Math TeX Gyre" w:hAnsi="DejaVu Math TeX Gyre" w:cs="Times New Roman Regular"/>
              </w:rPr>
              <m:t>BB</m:t>
            </m:r>
            <m:ctrlPr>
              <w:rPr>
                <w:rFonts w:ascii="DejaVu Math TeX Gyre" w:hAnsi="DejaVu Math TeX Gyre" w:cs="Times New Roman Regular"/>
                <w:i/>
                <w:iCs/>
              </w:rPr>
            </m:ctrlPr>
          </m:sub>
        </m:sSub>
        <m:r>
          <m:rPr/>
          <w:rPr>
            <w:rFonts w:ascii="DejaVu Math TeX Gyre" w:hAnsi="DejaVu Math TeX Gyre" w:cs="Times New Roman Regular"/>
          </w:rPr>
          <m:t>∙BW+</m:t>
        </m:r>
        <m:sSub>
          <m:sSubPr>
            <m:ctrlPr>
              <w:rPr>
                <w:rFonts w:ascii="DejaVu Math TeX Gyre" w:hAnsi="DejaVu Math TeX Gyre" w:cs="Times New Roman Regular"/>
                <w:i/>
                <w:iCs/>
              </w:rPr>
            </m:ctrlPr>
          </m:sSubPr>
          <m:e>
            <m:r>
              <m:rPr/>
              <w:rPr>
                <w:rFonts w:ascii="DejaVu Math TeX Gyre" w:hAnsi="DejaVu Math TeX Gyre" w:cs="Times New Roman Regular"/>
              </w:rPr>
              <m:t>C</m:t>
            </m:r>
            <m:ctrlPr>
              <w:rPr>
                <w:rFonts w:ascii="DejaVu Math TeX Gyre" w:hAnsi="DejaVu Math TeX Gyre" w:cs="Times New Roman Regular"/>
                <w:i/>
                <w:iCs/>
              </w:rPr>
            </m:ctrlPr>
          </m:e>
          <m:sub>
            <m:r>
              <m:rPr/>
              <w:rPr>
                <w:rFonts w:ascii="DejaVu Math TeX Gyre" w:hAnsi="DejaVu Math TeX Gyre" w:cs="Times New Roman Regular"/>
              </w:rPr>
              <m:t>RF</m:t>
            </m:r>
            <m:ctrlPr>
              <w:rPr>
                <w:rFonts w:ascii="DejaVu Math TeX Gyre" w:hAnsi="DejaVu Math TeX Gyre" w:cs="Times New Roman Regular"/>
                <w:i/>
                <w:iCs/>
              </w:rPr>
            </m:ctrlPr>
          </m:sub>
        </m:sSub>
        <m:r>
          <m:rPr/>
          <w:rPr>
            <w:rFonts w:ascii="DejaVu Math TeX Gyre" w:hAnsi="DejaVu Math TeX Gyre" w:cs="Times New Roman Regular"/>
          </w:rPr>
          <m:t>∙</m:t>
        </m:r>
        <m:sSub>
          <m:sSubPr>
            <m:ctrlPr>
              <w:rPr>
                <w:rFonts w:ascii="DejaVu Math TeX Gyre" w:hAnsi="DejaVu Math TeX Gyre" w:cs="Times New Roman Regular"/>
                <w:i/>
                <w:iCs/>
              </w:rPr>
            </m:ctrlPr>
          </m:sSubPr>
          <m:e>
            <m:r>
              <m:rPr/>
              <w:rPr>
                <w:rFonts w:ascii="DejaVu Math TeX Gyre" w:hAnsi="DejaVu Math TeX Gyre" w:cs="Times New Roman Regular"/>
              </w:rPr>
              <m:t>N</m:t>
            </m:r>
            <m:ctrlPr>
              <w:rPr>
                <w:rFonts w:ascii="DejaVu Math TeX Gyre" w:hAnsi="DejaVu Math TeX Gyre" w:cs="Times New Roman Regular"/>
                <w:i/>
                <w:iCs/>
              </w:rPr>
            </m:ctrlPr>
          </m:e>
          <m:sub>
            <m:r>
              <m:rPr/>
              <w:rPr>
                <w:rFonts w:ascii="DejaVu Math TeX Gyre" w:hAnsi="DejaVu Math TeX Gyre" w:cs="Times New Roman Regular"/>
              </w:rPr>
              <m:t>RF</m:t>
            </m:r>
            <m:ctrlPr>
              <w:rPr>
                <w:rFonts w:ascii="DejaVu Math TeX Gyre" w:hAnsi="DejaVu Math TeX Gyre" w:cs="Times New Roman Regular"/>
                <w:i/>
                <w:iCs/>
              </w:rPr>
            </m:ctrlPr>
          </m:sub>
        </m:sSub>
        <m:r>
          <m:rPr/>
          <w:rPr>
            <w:rFonts w:ascii="DejaVu Math TeX Gyre" w:hAnsi="DejaVu Math TeX Gyre" w:cs="Times New Roman Regular"/>
          </w:rPr>
          <m:t>+</m:t>
        </m:r>
        <m:sSub>
          <m:sSubPr>
            <m:ctrlPr>
              <w:rPr>
                <w:rFonts w:ascii="DejaVu Math TeX Gyre" w:hAnsi="DejaVu Math TeX Gyre" w:cs="Times New Roman Regular"/>
                <w:i/>
                <w:iCs/>
              </w:rPr>
            </m:ctrlPr>
          </m:sSubPr>
          <m:e>
            <m:r>
              <m:rPr/>
              <w:rPr>
                <w:rFonts w:ascii="DejaVu Math TeX Gyre" w:hAnsi="DejaVu Math TeX Gyre" w:cs="Times New Roman Regular"/>
              </w:rPr>
              <m:t>C</m:t>
            </m:r>
            <m:ctrlPr>
              <w:rPr>
                <w:rFonts w:ascii="DejaVu Math TeX Gyre" w:hAnsi="DejaVu Math TeX Gyre" w:cs="Times New Roman Regular"/>
                <w:i/>
                <w:iCs/>
              </w:rPr>
            </m:ctrlPr>
          </m:e>
          <m:sub>
            <m:r>
              <m:rPr/>
              <w:rPr>
                <w:rFonts w:ascii="DejaVu Math TeX Gyre" w:hAnsi="DejaVu Math TeX Gyre" w:cs="Times New Roman Regular"/>
              </w:rPr>
              <m:t>PA</m:t>
            </m:r>
            <m:ctrlPr>
              <w:rPr>
                <w:rFonts w:ascii="DejaVu Math TeX Gyre" w:hAnsi="DejaVu Math TeX Gyre" w:cs="Times New Roman Regular"/>
                <w:i/>
                <w:iCs/>
              </w:rPr>
            </m:ctrlPr>
          </m:sub>
        </m:sSub>
        <m:r>
          <m:rPr/>
          <w:rPr>
            <w:rFonts w:ascii="DejaVu Math TeX Gyre" w:hAnsi="DejaVu Math TeX Gyre" w:cs="Times New Roman Regular"/>
          </w:rPr>
          <m:t>∙</m:t>
        </m:r>
        <m:sSub>
          <m:sSubPr>
            <m:ctrlPr>
              <w:rPr>
                <w:rFonts w:ascii="DejaVu Math TeX Gyre" w:hAnsi="DejaVu Math TeX Gyre" w:cs="Times New Roman Regular"/>
                <w:i/>
                <w:iCs/>
              </w:rPr>
            </m:ctrlPr>
          </m:sSubPr>
          <m:e>
            <m:r>
              <m:rPr/>
              <w:rPr>
                <w:rFonts w:ascii="DejaVu Math TeX Gyre" w:hAnsi="DejaVu Math TeX Gyre" w:cs="Times New Roman Regular"/>
              </w:rPr>
              <m:t>P</m:t>
            </m:r>
            <m:ctrlPr>
              <w:rPr>
                <w:rFonts w:ascii="DejaVu Math TeX Gyre" w:hAnsi="DejaVu Math TeX Gyre" w:cs="Times New Roman Regular"/>
                <w:i/>
                <w:iCs/>
              </w:rPr>
            </m:ctrlPr>
          </m:e>
          <m:sub>
            <m:r>
              <m:rPr/>
              <w:rPr>
                <w:rFonts w:ascii="DejaVu Math TeX Gyre" w:hAnsi="DejaVu Math TeX Gyre" w:cs="Times New Roman Regular"/>
              </w:rPr>
              <m:t>out</m:t>
            </m:r>
            <m:ctrlPr>
              <w:rPr>
                <w:rFonts w:ascii="DejaVu Math TeX Gyre" w:hAnsi="DejaVu Math TeX Gyre" w:cs="Times New Roman Regular"/>
                <w:i/>
                <w:iCs/>
              </w:rPr>
            </m:ctrlPr>
          </m:sub>
        </m:sSub>
      </m:oMath>
      <w:r>
        <w:t xml:space="preserve">, where </w:t>
      </w:r>
      <m:oMath>
        <m:r>
          <m:rPr/>
          <w:rPr>
            <w:rFonts w:ascii="Cambria Math" w:hAnsi="Cambria Math"/>
          </w:rPr>
          <m:t>C</m:t>
        </m:r>
      </m:oMath>
      <w:r>
        <w:t xml:space="preserve"> terms are constants (baseband processing cost per MHz, RF chain cost, PA efficiency factor). </w:t>
      </w:r>
    </w:p>
    <w:p w14:paraId="75B77D6E">
      <w:pPr>
        <w:pStyle w:val="5"/>
        <w:numPr>
          <w:ilvl w:val="0"/>
          <w:numId w:val="21"/>
        </w:numPr>
        <w:ind w:left="840"/>
      </w:pPr>
      <w:r>
        <w:t xml:space="preserve">Sleep state power: will depend on whether WUR is present and how long the DRX cycle is. We incorporate parameters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m:t>
            </m:r>
            <m:ctrlPr>
              <w:rPr>
                <w:rFonts w:ascii="Cambria Math" w:hAnsi="Cambria Math"/>
              </w:rPr>
            </m:ctrlPr>
          </m:sub>
        </m:sSub>
      </m:oMath>
      <w:r>
        <w:t xml:space="preserve"> (cycle) and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WUR</m:t>
            </m:r>
            <m:ctrlPr>
              <w:rPr>
                <w:rFonts w:ascii="Cambria Math" w:hAnsi="Cambria Math"/>
              </w:rPr>
            </m:ctrlPr>
          </m:sub>
        </m:sSub>
      </m:oMath>
      <w:r>
        <w:t xml:space="preserve"> as discussed. For a unified approach, we can treat WUR as just another component: i.e. even a high-end UE could be modeled with </w:t>
      </w: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WUR</m:t>
            </m:r>
            <m:ctrlPr>
              <w:rPr>
                <w:rFonts w:ascii="Cambria Math" w:hAnsi="Cambria Math"/>
              </w:rPr>
            </m:ctrlPr>
          </m:sub>
        </m:sSub>
        <m:r>
          <m:rPr/>
          <w:rPr>
            <w:rFonts w:ascii="Cambria Math" w:hAnsi="Cambria Math"/>
          </w:rPr>
          <m:t>=0</m:t>
        </m:r>
      </m:oMath>
      <w:r>
        <w:t xml:space="preserve"> (if no WUR) or some small value if it has one. Similarly, a low-end device simply has a much lower </w:t>
      </w:r>
      <m:oMath>
        <m:sSub>
          <m:sSubPr>
            <m:ctrlPr>
              <w:rPr>
                <w:rFonts w:ascii="Cambria Math" w:hAnsi="Cambria Math"/>
              </w:rPr>
            </m:ctrlPr>
          </m:sSubPr>
          <m:e>
            <m:r>
              <m:rPr/>
              <w:rPr>
                <w:rFonts w:ascii="Cambria Math" w:hAnsi="Cambria Math"/>
              </w:rPr>
              <m:t>I</m:t>
            </m:r>
            <m:ctrlPr>
              <w:rPr>
                <w:rFonts w:ascii="Cambria Math" w:hAnsi="Cambria Math"/>
              </w:rPr>
            </m:ctrlPr>
          </m:e>
          <m:sub>
            <m:r>
              <m:rPr/>
              <w:rPr>
                <w:rFonts w:ascii="Cambria Math" w:hAnsi="Cambria Math"/>
              </w:rPr>
              <m:t>sleep</m:t>
            </m:r>
            <m:ctrlPr>
              <w:rPr>
                <w:rFonts w:ascii="Cambria Math" w:hAnsi="Cambria Math"/>
              </w:rPr>
            </m:ctrlPr>
          </m:sub>
        </m:sSub>
      </m:oMath>
      <w:r>
        <w:t xml:space="preserve"> and longer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sleep</m:t>
            </m:r>
            <m:ctrlPr>
              <w:rPr>
                <w:rFonts w:ascii="Cambria Math" w:hAnsi="Cambria Math"/>
              </w:rPr>
            </m:ctrlPr>
          </m:sub>
        </m:sSub>
      </m:oMath>
      <w:r>
        <w:t>.</w:t>
      </w:r>
    </w:p>
    <w:p w14:paraId="5ADF8F37">
      <w:pPr>
        <w:pStyle w:val="5"/>
        <w:numPr>
          <w:ilvl w:val="0"/>
          <w:numId w:val="19"/>
        </w:numPr>
      </w:pPr>
      <w:r>
        <w:rPr>
          <w:rFonts w:ascii="Times New Roman Bold Italic" w:hAnsi="Times New Roman Bold Italic" w:cs="Times New Roman Bold Italic"/>
          <w:b/>
          <w:bCs/>
          <w:i/>
          <w:iCs/>
          <w:u w:val="single"/>
        </w:rPr>
        <w:t>When unification is not feasible:</w:t>
      </w:r>
      <w:r>
        <w:rPr>
          <w:rFonts w:ascii="Times New Roman Bold Italic" w:hAnsi="Times New Roman Bold Italic" w:cs="Times New Roman Bold Italic"/>
          <w:i/>
          <w:iCs/>
          <w:u w:val="single"/>
        </w:rPr>
        <w:t xml:space="preserve"> </w:t>
      </w:r>
      <w:r>
        <w:t>If certain device types require fundamentally different model structures, we will clearly delineate those extensions. If some UEs use bursty wake-up vs others use continuous low-power listening (WUR vs non-WUR), our model can cover both, but we might present separate formula instances for clarity.</w:t>
      </w:r>
    </w:p>
    <w:p w14:paraId="57072C11">
      <w:pPr>
        <w:pStyle w:val="5"/>
      </w:pPr>
      <w:r>
        <w:rPr>
          <w:rFonts w:hint="eastAsia"/>
          <w:lang w:eastAsia="zh-CN"/>
        </w:rPr>
        <w:t>F</w:t>
      </w:r>
      <w:r>
        <w:t>or the 6G study, assuming battery-powered UEs with similar architecture, a single model suffices. We will define a set of parameters for the unified model, for example:</w:t>
      </w:r>
    </w:p>
    <w:p w14:paraId="1975B905">
      <w:pPr>
        <w:pStyle w:val="84"/>
        <w:numPr>
          <w:ilvl w:val="0"/>
          <w:numId w:val="18"/>
        </w:num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Rx</m:t>
            </m:r>
            <m:ctrlPr>
              <w:rPr>
                <w:rFonts w:ascii="Cambria Math" w:hAnsi="Cambria Math"/>
              </w:rPr>
            </m:ctrlPr>
          </m:sub>
        </m:sSub>
      </m:oMath>
      <w: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Tx</m:t>
            </m:r>
            <m:ctrlPr>
              <w:rPr>
                <w:rFonts w:ascii="Cambria Math" w:hAnsi="Cambria Math"/>
              </w:rPr>
            </m:ctrlPr>
          </m:sub>
        </m:sSub>
      </m:oMath>
      <w:r>
        <w:t>: number of RF chains.</w:t>
      </w:r>
    </w:p>
    <w:p w14:paraId="4344BB49">
      <w:pPr>
        <w:pStyle w:val="84"/>
        <w:numPr>
          <w:ilvl w:val="0"/>
          <w:numId w:val="18"/>
        </w:numPr>
      </w:pPr>
      <m:oMath>
        <m:sSub>
          <m:sSubPr>
            <m:ctrlPr>
              <w:rPr>
                <w:rFonts w:ascii="Cambria Math" w:hAnsi="Cambria Math"/>
              </w:rPr>
            </m:ctrlPr>
          </m:sSubPr>
          <m:e>
            <m:r>
              <m:rPr/>
              <w:rPr>
                <w:rFonts w:ascii="Cambria Math" w:hAnsi="Cambria Math"/>
              </w:rPr>
              <m:t>BW</m:t>
            </m:r>
            <m:ctrlPr>
              <w:rPr>
                <w:rFonts w:ascii="Cambria Math" w:hAnsi="Cambria Math"/>
              </w:rPr>
            </m:ctrlPr>
          </m:e>
          <m:sub>
            <m:r>
              <m:rPr/>
              <w:rPr>
                <w:rFonts w:ascii="Cambria Math" w:hAnsi="Cambria Math"/>
              </w:rPr>
              <m:t>max</m:t>
            </m:r>
            <m:ctrlPr>
              <w:rPr>
                <w:rFonts w:ascii="Cambria Math" w:hAnsi="Cambria Math"/>
              </w:rPr>
            </m:ctrlPr>
          </m:sub>
        </m:sSub>
      </m:oMath>
      <w:r>
        <w:t>: maximum supported bandwidth.</w:t>
      </w:r>
    </w:p>
    <w:p w14:paraId="1F255870">
      <w:pPr>
        <w:pStyle w:val="84"/>
        <w:numPr>
          <w:ilvl w:val="0"/>
          <w:numId w:val="18"/>
        </w:numPr>
      </w:pP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max,UE</m:t>
            </m:r>
            <m:ctrlPr>
              <w:rPr>
                <w:rFonts w:ascii="Cambria Math" w:hAnsi="Cambria Math"/>
              </w:rPr>
            </m:ctrlPr>
          </m:sub>
        </m:sSub>
      </m:oMath>
      <w:r>
        <w:t>: max transmit power of UE (e.g. 23 dBm for handheld, 14 dBm~20dBm for other LP devices).</w:t>
      </w:r>
    </w:p>
    <w:p w14:paraId="737C5FFE">
      <w:pPr>
        <w:pStyle w:val="84"/>
        <w:numPr>
          <w:ilvl w:val="0"/>
          <w:numId w:val="18"/>
        </w:numPr>
      </w:pPr>
      <m:oMath>
        <m:sSub>
          <m:sSubPr>
            <m:ctrlPr>
              <w:rPr>
                <w:rFonts w:ascii="Cambria Math" w:hAnsi="Cambria Math"/>
              </w:rPr>
            </m:ctrlPr>
          </m:sSubPr>
          <m:e>
            <m:r>
              <m:rPr/>
              <w:rPr>
                <w:rFonts w:ascii="Cambria Math" w:hAnsi="Cambria Math"/>
              </w:rPr>
              <m:t>b</m:t>
            </m:r>
            <m:ctrlPr>
              <w:rPr>
                <w:rFonts w:ascii="Cambria Math" w:hAnsi="Cambria Math"/>
              </w:rPr>
            </m:ctrlPr>
          </m:e>
          <m:sub>
            <m:r>
              <m:rPr/>
              <w:rPr>
                <w:rFonts w:ascii="Cambria Math" w:hAnsi="Cambria Math"/>
              </w:rPr>
              <m:t>WUR</m:t>
            </m:r>
            <m:ctrlPr>
              <w:rPr>
                <w:rFonts w:ascii="Cambria Math" w:hAnsi="Cambria Math"/>
              </w:rPr>
            </m:ctrlPr>
          </m:sub>
        </m:sSub>
      </m:oMath>
      <w:r>
        <w:t>: boolean for wake-up receiver presence.</w:t>
      </w:r>
    </w:p>
    <w:p w14:paraId="779DDAB2">
      <w:pPr>
        <w:pStyle w:val="84"/>
        <w:numPr>
          <w:ilvl w:val="0"/>
          <w:numId w:val="18"/>
        </w:numPr>
      </w:pPr>
      <m:oMath>
        <m:sSub>
          <m:sSubPr>
            <m:ctrlPr>
              <w:rPr>
                <w:rFonts w:ascii="Cambria Math" w:hAnsi="Cambria Math"/>
              </w:rPr>
            </m:ctrlPr>
          </m:sSubPr>
          <m:e>
            <m:r>
              <m:rPr/>
              <w:rPr>
                <w:rFonts w:ascii="Cambria Math" w:hAnsi="Cambria Math"/>
              </w:rPr>
              <m:t>I</m:t>
            </m:r>
            <m:ctrlPr>
              <w:rPr>
                <w:rFonts w:ascii="Cambria Math" w:hAnsi="Cambria Math"/>
              </w:rPr>
            </m:ctrlPr>
          </m:e>
          <m:sub>
            <m:r>
              <m:rPr/>
              <w:rPr>
                <w:rFonts w:ascii="Cambria Math" w:hAnsi="Cambria Math"/>
              </w:rPr>
              <m:t>deep_sleep</m:t>
            </m:r>
            <m:ctrlPr>
              <w:rPr>
                <w:rFonts w:ascii="Cambria Math" w:hAnsi="Cambria Math"/>
              </w:rPr>
            </m:ctrlPr>
          </m:sub>
        </m:sSub>
      </m:oMath>
      <w:r>
        <w:t>: baseline current draw in deepest sleep (could be a few microamps for IoT vs higher for smartphone due to larger circuits).</w:t>
      </w:r>
    </w:p>
    <w:p w14:paraId="461C55B0">
      <w:pPr>
        <w:pStyle w:val="84"/>
        <w:numPr>
          <w:ilvl w:val="0"/>
          <w:numId w:val="18"/>
        </w:numPr>
      </w:pP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DRX,Idle</m:t>
            </m:r>
            <m:ctrlPr>
              <w:rPr>
                <w:rFonts w:ascii="Cambria Math" w:hAnsi="Cambria Math"/>
              </w:rPr>
            </m:ctrlPr>
          </m:sub>
        </m:sSub>
      </m:oMath>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DRX,Inactive</m:t>
            </m:r>
            <m:ctrlPr>
              <w:rPr>
                <w:rFonts w:ascii="Cambria Math" w:hAnsi="Cambria Math"/>
              </w:rPr>
            </m:ctrlPr>
          </m:sub>
        </m:sSub>
      </m:oMath>
      <w:r>
        <w:t>: DRX cycle lengths.</w:t>
      </w:r>
    </w:p>
    <w:p w14:paraId="7F909AD6">
      <w:pPr>
        <w:pStyle w:val="84"/>
        <w:numPr>
          <w:ilvl w:val="0"/>
          <w:numId w:val="18"/>
        </w:numPr>
      </w:pPr>
      <m:oMath>
        <m:sSub>
          <m:sSubPr>
            <m:ctrlPr>
              <w:rPr>
                <w:rFonts w:ascii="Cambria Math" w:hAnsi="Cambria Math"/>
              </w:rPr>
            </m:ctrlPr>
          </m:sSubPr>
          <m:e>
            <m:r>
              <m:rPr/>
              <w:rPr>
                <w:rFonts w:ascii="Cambria Math" w:hAnsi="Cambria Math"/>
              </w:rPr>
              <m:t>E</m:t>
            </m:r>
            <m:ctrlPr>
              <w:rPr>
                <w:rFonts w:ascii="Cambria Math" w:hAnsi="Cambria Math"/>
              </w:rPr>
            </m:ctrlPr>
          </m:e>
          <m:sub>
            <m:r>
              <m:rPr/>
              <w:rPr>
                <w:rFonts w:ascii="Cambria Math" w:hAnsi="Cambria Math"/>
              </w:rPr>
              <m:t>paging</m:t>
            </m:r>
            <m:ctrlPr>
              <w:rPr>
                <w:rFonts w:ascii="Cambria Math" w:hAnsi="Cambria Math"/>
              </w:rPr>
            </m:ctrlPr>
          </m:sub>
        </m:sSub>
      </m:oMath>
      <w:r>
        <w:t>: energy per paging occasion (depends on number of sync blocks, etc., but we can assume a typical value scaled by bandwidth and RF chains).</w:t>
      </w:r>
    </w:p>
    <w:p w14:paraId="6C080E64">
      <w:pPr>
        <w:pStyle w:val="84"/>
        <w:numPr>
          <w:ilvl w:val="0"/>
          <w:numId w:val="18"/>
        </w:numPr>
      </w:pPr>
      <m:oMath>
        <m:sSub>
          <m:sSubPr>
            <m:ctrlPr>
              <w:rPr>
                <w:rFonts w:ascii="Cambria Math" w:hAnsi="Cambria Math"/>
              </w:rPr>
            </m:ctrlPr>
          </m:sSubPr>
          <m:e>
            <m:r>
              <m:rPr/>
              <w:rPr>
                <w:rFonts w:ascii="Cambria Math" w:hAnsi="Cambria Math"/>
              </w:rPr>
              <m:t>E</m:t>
            </m:r>
            <m:ctrlPr>
              <w:rPr>
                <w:rFonts w:ascii="Cambria Math" w:hAnsi="Cambria Math"/>
              </w:rPr>
            </m:ctrlPr>
          </m:e>
          <m:sub>
            <m:r>
              <m:rPr/>
              <w:rPr>
                <w:rFonts w:ascii="Cambria Math" w:hAnsi="Cambria Math"/>
              </w:rPr>
              <m:t>TxPacket</m:t>
            </m:r>
            <m:ctrlPr>
              <w:rPr>
                <w:rFonts w:ascii="Cambria Math" w:hAnsi="Cambria Math"/>
              </w:rPr>
            </m:ctrlPr>
          </m:sub>
        </m:sSub>
      </m:oMath>
      <w:r>
        <w:t>: energy per uplink packet transmission (could be further detailed by data size, but for modeling, average power works).</w:t>
      </w:r>
    </w:p>
    <w:p w14:paraId="40DFCDB8">
      <w:pPr>
        <w:pStyle w:val="83"/>
      </w:pPr>
      <w:r>
        <w:t>Using these, one could compute:</w:t>
      </w:r>
    </w:p>
    <w:p w14:paraId="2F62E73C">
      <w:pPr>
        <w:pStyle w:val="5"/>
      </w:pPr>
      <m:oMathPara>
        <m:oMathParaPr>
          <m:jc m:val="center"/>
        </m:oMathParaP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avg</m:t>
              </m:r>
              <m:ctrlPr>
                <w:rPr>
                  <w:rFonts w:ascii="Cambria Math" w:hAnsi="Cambria Math"/>
                </w:rPr>
              </m:ctrlPr>
            </m:sub>
          </m:sSub>
          <m:r>
            <m:rPr>
              <m:sty m:val="p"/>
            </m:rPr>
            <w:rPr>
              <w:rFonts w:ascii="Cambria Math" w:hAnsi="Cambria Math"/>
            </w:rPr>
            <m:t>=</m:t>
          </m:r>
          <m:f>
            <m:fPr>
              <m:ctrlPr>
                <w:rPr>
                  <w:rFonts w:ascii="Cambria Math" w:hAnsi="Cambria Math"/>
                </w:rPr>
              </m:ctrlPr>
            </m:fPr>
            <m:num>
              <m:nary>
                <m:naryPr>
                  <m:chr m:val="∑"/>
                  <m:limLoc m:val="undOvr"/>
                  <m:supHide m:val="1"/>
                  <m:ctrlPr>
                    <w:rPr>
                      <w:rFonts w:ascii="Cambria Math" w:hAnsi="Cambria Math"/>
                    </w:rPr>
                  </m:ctrlPr>
                </m:naryPr>
                <m:sub>
                  <m:r>
                    <m:rPr/>
                    <w:rPr>
                      <w:rFonts w:ascii="Cambria Math" w:hAnsi="Cambria Math"/>
                    </w:rPr>
                    <m:t>i</m:t>
                  </m:r>
                  <m:ctrlPr>
                    <w:rPr>
                      <w:rFonts w:ascii="Cambria Math" w:hAnsi="Cambria Math"/>
                    </w:rPr>
                  </m:ctrlPr>
                </m:sub>
                <m:sup>
                  <m:r>
                    <m:rPr/>
                    <w:rPr>
                      <w:rFonts w:ascii="Cambria Math" w:hAnsi="Cambria Math"/>
                    </w:rPr>
                    <m:t>​</m:t>
                  </m:r>
                  <m:ctrlPr>
                    <w:rPr>
                      <w:rFonts w:ascii="Cambria Math" w:hAnsi="Cambria Math"/>
                    </w:rPr>
                  </m:ctrlPr>
                </m:sup>
                <m:e>
                  <m:sSub>
                    <m:sSubPr>
                      <m:ctrlPr>
                        <w:rPr>
                          <w:rFonts w:ascii="Cambria Math" w:hAnsi="Cambria Math"/>
                        </w:rPr>
                      </m:ctrlPr>
                    </m:sSubPr>
                    <m:e>
                      <m:r>
                        <m:rPr/>
                        <w:rPr>
                          <w:rFonts w:ascii="Cambria Math" w:hAnsi="Cambria Math"/>
                        </w:rPr>
                        <m:t>E</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e>
              </m:nary>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observation</m:t>
                  </m:r>
                  <m:ctrlPr>
                    <w:rPr>
                      <w:rFonts w:ascii="Cambria Math" w:hAnsi="Cambria Math"/>
                    </w:rPr>
                  </m:ctrlPr>
                </m:sub>
              </m:sSub>
              <m:ctrlPr>
                <w:rPr>
                  <w:rFonts w:ascii="Cambria Math" w:hAnsi="Cambria Math"/>
                </w:rPr>
              </m:ctrlPr>
            </m:den>
          </m:f>
          <m:r>
            <m:rPr>
              <m:sty m:val="p"/>
            </m:rPr>
            <w:rPr>
              <w:rFonts w:ascii="Cambria Math" w:hAnsi="Cambria Math"/>
            </w:rPr>
            <m:t>,</m:t>
          </m:r>
        </m:oMath>
      </m:oMathPara>
    </w:p>
    <w:p w14:paraId="02E0B45A">
      <w:pPr>
        <w:pStyle w:val="83"/>
      </w:pPr>
      <w:r>
        <w:t>summing energies of events (paging, measurements, data bursts) over a period. This event-driven view is quite general and underlies all the TR models – they essentially simulate or assume a traffic pattern and sum up contributions.</w:t>
      </w:r>
    </w:p>
    <w:p w14:paraId="0F9AA1E8">
      <w:pPr>
        <w:pStyle w:val="5"/>
        <w:numPr>
          <w:ilvl w:val="0"/>
          <w:numId w:val="19"/>
        </w:numPr>
      </w:pPr>
      <w:r>
        <w:rPr>
          <w:rFonts w:ascii="Times New Roman Bold Italic" w:hAnsi="Times New Roman Bold Italic" w:cs="Times New Roman Bold Italic"/>
          <w:b/>
          <w:bCs/>
          <w:i/>
          <w:iCs/>
          <w:u w:val="single"/>
        </w:rPr>
        <w:t>Example unified formula (idle mode):</w:t>
      </w:r>
      <w:r>
        <w:rPr>
          <w:rFonts w:ascii="Times New Roman Bold Italic" w:hAnsi="Times New Roman Bold Italic" w:cs="Times New Roman Bold Italic"/>
          <w:i/>
          <w:iCs/>
          <w:u w:val="single"/>
        </w:rPr>
        <w:t xml:space="preserve"> </w:t>
      </w:r>
      <w:r>
        <w:t>Suppose we want one formula that gives idle power for any device given its DRX and WUR setting:</w:t>
      </w:r>
    </w:p>
    <w:p w14:paraId="2B3E9310">
      <w:pPr>
        <w:pStyle w:val="5"/>
      </w:pPr>
      <m:oMathPara>
        <m:oMathParaPr>
          <m:jc m:val="center"/>
        </m:oMathParaP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Idle(avg)</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1</m:t>
              </m:r>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cycle</m:t>
                  </m:r>
                  <m:ctrlPr>
                    <w:rPr>
                      <w:rFonts w:ascii="Cambria Math" w:hAnsi="Cambria Math"/>
                    </w:rPr>
                  </m:ctrlPr>
                </m:sub>
              </m:sSub>
              <m:ctrlPr>
                <w:rPr>
                  <w:rFonts w:ascii="Cambria Math" w:hAnsi="Cambria Math"/>
                </w:rPr>
              </m:ctrlPr>
            </m:den>
          </m:f>
          <m:d>
            <m:dPr>
              <m:ctrlPr>
                <w:rPr>
                  <w:rFonts w:ascii="Cambria Math" w:hAnsi="Cambria Math"/>
                </w:rPr>
              </m:ctrlPr>
            </m:dPr>
            <m:e>
              <m:sSub>
                <m:sSubPr>
                  <m:ctrlPr>
                    <w:rPr>
                      <w:rFonts w:ascii="Cambria Math" w:hAnsi="Cambria Math"/>
                    </w:rPr>
                  </m:ctrlPr>
                </m:sSubPr>
                <m:e>
                  <m:r>
                    <m:rPr/>
                    <w:rPr>
                      <w:rFonts w:ascii="Cambria Math" w:hAnsi="Cambria Math"/>
                    </w:rPr>
                    <m:t>I</m:t>
                  </m:r>
                  <m:ctrlPr>
                    <w:rPr>
                      <w:rFonts w:ascii="Cambria Math" w:hAnsi="Cambria Math"/>
                    </w:rPr>
                  </m:ctrlPr>
                </m:e>
                <m:sub>
                  <m:r>
                    <m:rPr>
                      <m:nor/>
                      <m:sty m:val="p"/>
                    </m:rPr>
                    <w:rPr>
                      <w:b w:val="0"/>
                      <w:i w:val="0"/>
                    </w:rPr>
                    <m:t>sleep</m:t>
                  </m:r>
                  <m:ctrlPr>
                    <w:rPr>
                      <w:rFonts w:ascii="Cambria Math" w:hAnsi="Cambria Math"/>
                    </w:rPr>
                  </m:ctrlP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cycle</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ON</m:t>
                      </m:r>
                      <m:ctrlPr>
                        <w:rPr>
                          <w:rFonts w:ascii="Cambria Math" w:hAnsi="Cambria Math"/>
                        </w:rPr>
                      </m:ctrlPr>
                    </m:sub>
                  </m:sSub>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I</m:t>
                  </m:r>
                  <m:ctrlPr>
                    <w:rPr>
                      <w:rFonts w:ascii="Cambria Math" w:hAnsi="Cambria Math"/>
                    </w:rPr>
                  </m:ctrlPr>
                </m:e>
                <m:sub>
                  <m:r>
                    <m:rPr>
                      <m:nor/>
                      <m:sty m:val="p"/>
                    </m:rPr>
                    <w:rPr>
                      <w:b w:val="0"/>
                      <w:i w:val="0"/>
                    </w:rPr>
                    <m:t>ON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nor/>
                      <m:sty m:val="p"/>
                    </m:rPr>
                    <w:rPr>
                      <w:b w:val="0"/>
                      <w:i w:val="0"/>
                    </w:rPr>
                    <m:t>ON</m:t>
                  </m:r>
                  <m:ctrlPr>
                    <w:rPr>
                      <w:rFonts w:ascii="Cambria Math" w:hAnsi="Cambria Math"/>
                    </w:rPr>
                  </m:ctrlPr>
                </m:sub>
              </m:sSub>
              <m:ctrlPr>
                <w:rPr>
                  <w:rFonts w:ascii="Cambria Math" w:hAnsi="Cambria Math"/>
                </w:rPr>
              </m:ctrlPr>
            </m:e>
          </m:d>
          <m:r>
            <m:rPr/>
            <w:rPr>
              <w:rFonts w:ascii="Cambria Math" w:hAnsi="Cambria Math"/>
            </w:rPr>
            <m:t> </m:t>
          </m:r>
          <m:r>
            <m:rPr>
              <m:sty m:val="p"/>
            </m:rPr>
            <w:rPr>
              <w:rFonts w:ascii="Cambria Math" w:hAnsi="Cambria Math"/>
            </w:rPr>
            <m:t>,</m:t>
          </m:r>
        </m:oMath>
      </m:oMathPara>
    </w:p>
    <w:p w14:paraId="08DD729A">
      <w:pPr>
        <w:pStyle w:val="83"/>
      </w:pPr>
      <w:r>
        <w:t xml:space="preserve">where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ON</m:t>
            </m:r>
            <m:ctrlPr>
              <w:rPr>
                <w:rFonts w:ascii="Cambria Math" w:hAnsi="Cambria Math"/>
              </w:rPr>
            </m:ctrlPr>
          </m:sub>
        </m:sSub>
      </m:oMath>
      <w:r>
        <w:t xml:space="preserve"> is the total awake time per cycle (paging + measurements). Now, if WUR is used, </w:t>
      </w:r>
      <m:oMath>
        <m:sSub>
          <m:sSubPr>
            <m:ctrlPr>
              <w:rPr>
                <w:rFonts w:ascii="Cambria Math" w:hAnsi="Cambria Math"/>
              </w:rPr>
            </m:ctrlPr>
          </m:sSubPr>
          <m:e>
            <m:r>
              <m:rPr/>
              <w:rPr>
                <w:rFonts w:ascii="Cambria Math" w:hAnsi="Cambria Math"/>
              </w:rPr>
              <m:t>I</m:t>
            </m:r>
            <m:ctrlPr>
              <w:rPr>
                <w:rFonts w:ascii="Cambria Math" w:hAnsi="Cambria Math"/>
              </w:rPr>
            </m:ctrlPr>
          </m:e>
          <m:sub>
            <m:r>
              <m:rPr/>
              <w:rPr>
                <w:rFonts w:ascii="Cambria Math" w:hAnsi="Cambria Math"/>
              </w:rPr>
              <m:t>sleep</m:t>
            </m:r>
            <m:ctrlPr>
              <w:rPr>
                <w:rFonts w:ascii="Cambria Math" w:hAnsi="Cambria Math"/>
              </w:rPr>
            </m:ctrlPr>
          </m:sub>
        </m:sSub>
      </m:oMath>
      <w:r>
        <w:t xml:space="preserve"> is effectively replaced by </w:t>
      </w:r>
      <m:oMath>
        <m:sSub>
          <m:sSubPr>
            <m:ctrlPr>
              <w:rPr>
                <w:rFonts w:ascii="Cambria Math" w:hAnsi="Cambria Math"/>
              </w:rPr>
            </m:ctrlPr>
          </m:sSubPr>
          <m:e>
            <m:r>
              <m:rPr/>
              <w:rPr>
                <w:rFonts w:ascii="Cambria Math" w:hAnsi="Cambria Math"/>
              </w:rPr>
              <m:t>I</m:t>
            </m:r>
            <m:ctrlPr>
              <w:rPr>
                <w:rFonts w:ascii="Cambria Math" w:hAnsi="Cambria Math"/>
              </w:rPr>
            </m:ctrlPr>
          </m:e>
          <m:sub>
            <m:r>
              <m:rPr/>
              <w:rPr>
                <w:rFonts w:ascii="Cambria Math" w:hAnsi="Cambria Math"/>
              </w:rPr>
              <m:t>WUR−active</m:t>
            </m:r>
            <m:ctrlPr>
              <w:rPr>
                <w:rFonts w:ascii="Cambria Math" w:hAnsi="Cambria Math"/>
              </w:rPr>
            </m:ctrlPr>
          </m:sub>
        </m:sSub>
      </m:oMath>
      <w:r>
        <w:t xml:space="preserve"> (since the WUR is what’s “on” during the long sleep). For a legacy device, </w:t>
      </w:r>
      <m:oMath>
        <m:sSub>
          <m:sSubPr>
            <m:ctrlPr>
              <w:rPr>
                <w:rFonts w:ascii="Cambria Math" w:hAnsi="Cambria Math"/>
              </w:rPr>
            </m:ctrlPr>
          </m:sSubPr>
          <m:e>
            <m:r>
              <m:rPr/>
              <w:rPr>
                <w:rFonts w:ascii="Cambria Math" w:hAnsi="Cambria Math"/>
              </w:rPr>
              <m:t>I</m:t>
            </m:r>
            <m:ctrlPr>
              <w:rPr>
                <w:rFonts w:ascii="Cambria Math" w:hAnsi="Cambria Math"/>
              </w:rPr>
            </m:ctrlPr>
          </m:e>
          <m:sub>
            <m:r>
              <m:rPr/>
              <w:rPr>
                <w:rFonts w:ascii="Cambria Math" w:hAnsi="Cambria Math"/>
              </w:rPr>
              <m:t>sleep</m:t>
            </m:r>
            <m:ctrlPr>
              <w:rPr>
                <w:rFonts w:ascii="Cambria Math" w:hAnsi="Cambria Math"/>
              </w:rPr>
            </m:ctrlPr>
          </m:sub>
        </m:sSub>
      </m:oMath>
      <w:r>
        <w:t xml:space="preserve"> might be near-zero (radio off) and </w:t>
      </w:r>
      <m:oMath>
        <m:sSub>
          <m:sSubPr>
            <m:ctrlPr>
              <w:rPr>
                <w:rFonts w:ascii="Cambria Math" w:hAnsi="Cambria Math"/>
              </w:rPr>
            </m:ctrlPr>
          </m:sSubPr>
          <m:e>
            <m:r>
              <m:rPr/>
              <w:rPr>
                <w:rFonts w:ascii="Cambria Math" w:hAnsi="Cambria Math"/>
              </w:rPr>
              <m:t>I</m:t>
            </m:r>
            <m:ctrlPr>
              <w:rPr>
                <w:rFonts w:ascii="Cambria Math" w:hAnsi="Cambria Math"/>
              </w:rPr>
            </m:ctrlPr>
          </m:e>
          <m:sub>
            <m:r>
              <m:rPr/>
              <w:rPr>
                <w:rFonts w:ascii="Cambria Math" w:hAnsi="Cambria Math"/>
              </w:rPr>
              <m:t>ON</m:t>
            </m:r>
            <m:ctrlPr>
              <w:rPr>
                <w:rFonts w:ascii="Cambria Math" w:hAnsi="Cambria Math"/>
              </w:rPr>
            </m:ctrlPr>
          </m:sub>
        </m:sSub>
      </m:oMath>
      <w:r>
        <w:t xml:space="preserve"> is high (radio on). For a WUR device, </w:t>
      </w:r>
      <m:oMath>
        <m:sSub>
          <m:sSubPr>
            <m:ctrlPr>
              <w:rPr>
                <w:rFonts w:ascii="Cambria Math" w:hAnsi="Cambria Math"/>
              </w:rPr>
            </m:ctrlPr>
          </m:sSubPr>
          <m:e>
            <m:r>
              <m:rPr/>
              <w:rPr>
                <w:rFonts w:ascii="Cambria Math" w:hAnsi="Cambria Math"/>
              </w:rPr>
              <m:t>I</m:t>
            </m:r>
            <m:ctrlPr>
              <w:rPr>
                <w:rFonts w:ascii="Cambria Math" w:hAnsi="Cambria Math"/>
              </w:rPr>
            </m:ctrlPr>
          </m:e>
          <m:sub>
            <m:r>
              <m:rPr/>
              <w:rPr>
                <w:rFonts w:ascii="Cambria Math" w:hAnsi="Cambria Math"/>
              </w:rPr>
              <m:t>sleep</m:t>
            </m:r>
            <m:ctrlPr>
              <w:rPr>
                <w:rFonts w:ascii="Cambria Math" w:hAnsi="Cambria Math"/>
              </w:rPr>
            </m:ctrlPr>
          </m:sub>
        </m:sSub>
        <m:r>
          <m:rPr/>
          <w:rPr>
            <w:rFonts w:ascii="DejaVu Math TeX Gyre" w:hAnsi="DejaVu Math TeX Gyre"/>
          </w:rPr>
          <m:t>≈</m:t>
        </m:r>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WUR</m:t>
            </m:r>
            <m:ctrlPr>
              <w:rPr>
                <w:rFonts w:ascii="Cambria Math" w:hAnsi="Cambria Math"/>
              </w:rPr>
            </m:ctrlPr>
          </m:sub>
        </m:sSub>
      </m:oMath>
      <w:r>
        <w:t xml:space="preserve"> (small but non-zero continuously) and </w:t>
      </w:r>
      <m:oMath>
        <m:sSub>
          <m:sSubPr>
            <m:ctrlPr>
              <w:rPr>
                <w:rFonts w:ascii="Cambria Math" w:hAnsi="Cambria Math"/>
              </w:rPr>
            </m:ctrlPr>
          </m:sSubPr>
          <m:e>
            <m:r>
              <m:rPr/>
              <w:rPr>
                <w:rFonts w:ascii="Cambria Math" w:hAnsi="Cambria Math"/>
              </w:rPr>
              <m:t>I</m:t>
            </m:r>
            <m:ctrlPr>
              <w:rPr>
                <w:rFonts w:ascii="Cambria Math" w:hAnsi="Cambria Math"/>
              </w:rPr>
            </m:ctrlPr>
          </m:e>
          <m:sub>
            <m:r>
              <m:rPr/>
              <w:rPr>
                <w:rFonts w:ascii="Cambria Math" w:hAnsi="Cambria Math"/>
              </w:rPr>
              <m:t>ON</m:t>
            </m:r>
            <m:ctrlPr>
              <w:rPr>
                <w:rFonts w:ascii="Cambria Math" w:hAnsi="Cambria Math"/>
              </w:rPr>
            </m:ctrlPr>
          </m:sub>
        </m:sSub>
      </m:oMath>
      <w:r>
        <w:t xml:space="preserve"> is the same or slightly higher (since now when waking it has to turn on main radio plus maybe do more processing quickly). In either case, by plugging in the appropriate values, the formula yields the correct average power. Thus, one formula can handle both by parameter substitution.</w:t>
      </w:r>
    </w:p>
    <w:p w14:paraId="360E02BB">
      <w:pPr>
        <w:pStyle w:val="5"/>
        <w:numPr>
          <w:ilvl w:val="0"/>
          <w:numId w:val="19"/>
        </w:numPr>
      </w:pPr>
      <w:r>
        <w:rPr>
          <w:rFonts w:ascii="Times New Roman Bold Italic" w:hAnsi="Times New Roman Bold Italic" w:cs="Times New Roman Bold Italic"/>
          <w:b/>
          <w:bCs/>
          <w:i/>
          <w:iCs/>
          <w:u w:val="single"/>
        </w:rPr>
        <w:t>Accounting for WUR overhead:</w:t>
      </w:r>
      <w:r>
        <w:t xml:space="preserve"> The WUR solution itself consumes power (though small). If, for example, a WUR draws 1 mW+ (might be more than LPR than that of Rel-19) continuously, that sets a floor to how low idle power can go – but it might be acceptable if previously the floor was 10 mW. Our unified model will incorporate such floors.</w:t>
      </w:r>
    </w:p>
    <w:p w14:paraId="2CA4726D">
      <w:pPr>
        <w:pStyle w:val="5"/>
        <w:numPr>
          <w:ilvl w:val="0"/>
          <w:numId w:val="19"/>
        </w:numPr>
      </w:pPr>
      <w:r>
        <w:rPr>
          <w:rFonts w:ascii="Times New Roman Bold Italic" w:hAnsi="Times New Roman Bold Italic" w:cs="Times New Roman Bold Italic"/>
          <w:b/>
          <w:bCs/>
          <w:i/>
          <w:iCs/>
          <w:u w:val="single"/>
        </w:rPr>
        <w:t>Finally, we note that calibration with real device data is crucial.</w:t>
      </w:r>
      <w:r>
        <w:t xml:space="preserve"> The proposal will include reference parameter sets for at least: - </w:t>
      </w:r>
      <w:r>
        <w:rPr>
          <w:i/>
          <w:iCs/>
        </w:rPr>
        <w:t>6G high-end UE</w:t>
      </w:r>
      <w:r>
        <w:t xml:space="preserve"> (e.g. 2x2 MIMO, 100 MHz, no WUR) – analogous to a smartphone. - </w:t>
      </w:r>
      <w:r>
        <w:rPr>
          <w:i/>
          <w:iCs/>
        </w:rPr>
        <w:t>6G RedCap UE</w:t>
      </w:r>
      <w:r>
        <w:t xml:space="preserve"> (e.g. 1x1, 20 MHz, with WUR) – for IoT device. - </w:t>
      </w:r>
      <w:r>
        <w:rPr>
          <w:i/>
          <w:iCs/>
        </w:rPr>
        <w:t>6G mid-tier UE</w:t>
      </w:r>
      <w:r>
        <w:t xml:space="preserve"> (e.g. 2x2, 20 MHz, maybe with WUR) – e.g. a wearable or mid-range device.</w:t>
      </w:r>
    </w:p>
    <w:p w14:paraId="6A25B279">
      <w:pPr>
        <w:pStyle w:val="5"/>
      </w:pPr>
      <w:r>
        <w:t>These can be summarized in a table similar to Table 2, but for 6G assumptions, and can be used in simulation scenarios.</w:t>
      </w:r>
    </w:p>
    <w:p w14:paraId="2ADAE0F4">
      <w:pPr>
        <w:pStyle w:val="5"/>
        <w:rPr>
          <w:b/>
          <w:bCs/>
          <w:i/>
          <w:iCs/>
        </w:rPr>
      </w:pPr>
      <w:r>
        <w:rPr>
          <w:b/>
          <w:bCs/>
          <w:i/>
          <w:iCs/>
        </w:rPr>
        <w:t>Proposal 6: Study unified 6R UE power model around power states and state transitions at least considering,</w:t>
      </w:r>
    </w:p>
    <w:p w14:paraId="036640BD">
      <w:pPr>
        <w:pStyle w:val="5"/>
        <w:numPr>
          <w:ilvl w:val="0"/>
          <w:numId w:val="20"/>
        </w:numPr>
        <w:ind w:left="840"/>
        <w:rPr>
          <w:b/>
          <w:bCs/>
          <w:i/>
          <w:iCs/>
          <w:sz w:val="18"/>
          <w:szCs w:val="18"/>
        </w:rPr>
      </w:pPr>
      <w:r>
        <w:rPr>
          <w:b/>
          <w:bCs/>
          <w:i/>
          <w:iCs/>
          <w:sz w:val="18"/>
          <w:szCs w:val="18"/>
        </w:rPr>
        <w:t xml:space="preserve">RRC CONNECTED Active: UE actively transmitting or receiving data. Power depends on transmit power, bandwidth, MIMO layers, etc. (We will parameterize this by </w:t>
      </w:r>
      <m:oMath>
        <m:sSub>
          <m:sSubPr>
            <m:ctrlPr>
              <w:rPr>
                <w:rFonts w:ascii="DejaVu Math TeX Gyre" w:hAnsi="DejaVu Math TeX Gyre"/>
                <w:b/>
                <w:bCs/>
                <w:i/>
                <w:iCs/>
                <w:sz w:val="18"/>
                <w:szCs w:val="18"/>
              </w:rPr>
            </m:ctrlPr>
          </m:sSubPr>
          <m:e>
            <m:r>
              <m:rPr>
                <m:sty m:val="bi"/>
              </m:rPr>
              <w:rPr>
                <w:rFonts w:ascii="DejaVu Math TeX Gyre" w:hAnsi="DejaVu Math TeX Gyre"/>
                <w:sz w:val="18"/>
                <w:szCs w:val="18"/>
              </w:rPr>
              <m:t>N</m:t>
            </m:r>
            <m:ctrlPr>
              <w:rPr>
                <w:rFonts w:ascii="DejaVu Math TeX Gyre" w:hAnsi="DejaVu Math TeX Gyre"/>
                <w:b/>
                <w:bCs/>
                <w:i/>
                <w:iCs/>
                <w:sz w:val="18"/>
                <w:szCs w:val="18"/>
              </w:rPr>
            </m:ctrlPr>
          </m:e>
          <m:sub>
            <m:r>
              <m:rPr>
                <m:sty m:val="bi"/>
              </m:rPr>
              <w:rPr>
                <w:rFonts w:ascii="DejaVu Math TeX Gyre" w:hAnsi="DejaVu Math TeX Gyre"/>
                <w:sz w:val="18"/>
                <w:szCs w:val="18"/>
              </w:rPr>
              <m:t>Rx</m:t>
            </m:r>
            <m:ctrlPr>
              <w:rPr>
                <w:rFonts w:ascii="DejaVu Math TeX Gyre" w:hAnsi="DejaVu Math TeX Gyre"/>
                <w:b/>
                <w:bCs/>
                <w:i/>
                <w:iCs/>
                <w:sz w:val="18"/>
                <w:szCs w:val="18"/>
              </w:rPr>
            </m:ctrlPr>
          </m:sub>
        </m:sSub>
        <m:r>
          <m:rPr>
            <m:sty m:val="bi"/>
          </m:rPr>
          <w:rPr>
            <w:rFonts w:ascii="DejaVu Math TeX Gyre" w:hAnsi="DejaVu Math TeX Gyre"/>
            <w:sz w:val="18"/>
            <w:szCs w:val="18"/>
          </w:rPr>
          <m:t>,</m:t>
        </m:r>
        <m:sSub>
          <m:sSubPr>
            <m:ctrlPr>
              <w:rPr>
                <w:rFonts w:ascii="DejaVu Math TeX Gyre" w:hAnsi="DejaVu Math TeX Gyre"/>
                <w:b/>
                <w:bCs/>
                <w:i/>
                <w:iCs/>
                <w:sz w:val="18"/>
                <w:szCs w:val="18"/>
              </w:rPr>
            </m:ctrlPr>
          </m:sSubPr>
          <m:e>
            <m:r>
              <m:rPr>
                <m:sty m:val="bi"/>
              </m:rPr>
              <w:rPr>
                <w:rFonts w:ascii="DejaVu Math TeX Gyre" w:hAnsi="DejaVu Math TeX Gyre"/>
                <w:sz w:val="18"/>
                <w:szCs w:val="18"/>
              </w:rPr>
              <m:t>N</m:t>
            </m:r>
            <m:ctrlPr>
              <w:rPr>
                <w:rFonts w:ascii="DejaVu Math TeX Gyre" w:hAnsi="DejaVu Math TeX Gyre"/>
                <w:b/>
                <w:bCs/>
                <w:i/>
                <w:iCs/>
                <w:sz w:val="18"/>
                <w:szCs w:val="18"/>
              </w:rPr>
            </m:ctrlPr>
          </m:e>
          <m:sub>
            <m:r>
              <m:rPr>
                <m:sty m:val="bi"/>
              </m:rPr>
              <w:rPr>
                <w:rFonts w:ascii="DejaVu Math TeX Gyre" w:hAnsi="DejaVu Math TeX Gyre"/>
                <w:sz w:val="18"/>
                <w:szCs w:val="18"/>
              </w:rPr>
              <m:t>Tx</m:t>
            </m:r>
            <m:ctrlPr>
              <w:rPr>
                <w:rFonts w:ascii="DejaVu Math TeX Gyre" w:hAnsi="DejaVu Math TeX Gyre"/>
                <w:b/>
                <w:bCs/>
                <w:i/>
                <w:iCs/>
                <w:sz w:val="18"/>
                <w:szCs w:val="18"/>
              </w:rPr>
            </m:ctrlPr>
          </m:sub>
        </m:sSub>
        <m:r>
          <m:rPr>
            <m:sty m:val="bi"/>
          </m:rPr>
          <w:rPr>
            <w:rFonts w:ascii="DejaVu Math TeX Gyre" w:hAnsi="DejaVu Math TeX Gyre"/>
            <w:sz w:val="18"/>
            <w:szCs w:val="18"/>
          </w:rPr>
          <m:t>,BW</m:t>
        </m:r>
      </m:oMath>
      <w:r>
        <w:rPr>
          <w:b/>
          <w:bCs/>
          <w:i/>
          <w:iCs/>
          <w:sz w:val="18"/>
          <w:szCs w:val="18"/>
        </w:rPr>
        <w:t xml:space="preserve">, modulation, etc.) </w:t>
      </w:r>
    </w:p>
    <w:p w14:paraId="4B9F27E4">
      <w:pPr>
        <w:pStyle w:val="5"/>
        <w:numPr>
          <w:ilvl w:val="0"/>
          <w:numId w:val="20"/>
        </w:numPr>
        <w:ind w:left="840"/>
        <w:rPr>
          <w:b/>
          <w:bCs/>
          <w:i/>
          <w:iCs/>
          <w:sz w:val="18"/>
          <w:szCs w:val="18"/>
        </w:rPr>
      </w:pPr>
      <w:r>
        <w:rPr>
          <w:b/>
          <w:bCs/>
          <w:i/>
          <w:iCs/>
          <w:sz w:val="18"/>
          <w:szCs w:val="18"/>
        </w:rPr>
        <w:t xml:space="preserve">RRC CONNECTED Inactive/DRX: UE in connected mode but in DRX sleep (no data currently). Power is similar to Idle DRX – periodic waking to monitor control channels. </w:t>
      </w:r>
    </w:p>
    <w:p w14:paraId="4A66E22C">
      <w:pPr>
        <w:pStyle w:val="5"/>
        <w:numPr>
          <w:ilvl w:val="0"/>
          <w:numId w:val="20"/>
        </w:numPr>
        <w:ind w:left="840"/>
        <w:rPr>
          <w:b/>
          <w:bCs/>
          <w:i/>
          <w:iCs/>
          <w:sz w:val="18"/>
          <w:szCs w:val="18"/>
        </w:rPr>
      </w:pPr>
      <w:r>
        <w:rPr>
          <w:b/>
          <w:bCs/>
          <w:i/>
          <w:iCs/>
          <w:sz w:val="18"/>
          <w:szCs w:val="18"/>
        </w:rPr>
        <w:t xml:space="preserve">RRC INACTIVE (if supported in 6G): UE in the 5G/6G inactive state. Similar behavior to Idle DRX or possibly using WUS. </w:t>
      </w:r>
    </w:p>
    <w:p w14:paraId="305A97CE">
      <w:pPr>
        <w:pStyle w:val="5"/>
        <w:numPr>
          <w:ilvl w:val="0"/>
          <w:numId w:val="20"/>
        </w:numPr>
        <w:ind w:left="840"/>
        <w:rPr>
          <w:b/>
          <w:bCs/>
          <w:i/>
          <w:iCs/>
          <w:sz w:val="18"/>
          <w:szCs w:val="18"/>
        </w:rPr>
      </w:pPr>
      <w:r>
        <w:rPr>
          <w:b/>
          <w:bCs/>
          <w:i/>
          <w:iCs/>
          <w:sz w:val="18"/>
          <w:szCs w:val="18"/>
        </w:rPr>
        <w:t xml:space="preserve">RRC IDLE: UE camping on cell, waking for paging or cell updates. </w:t>
      </w:r>
    </w:p>
    <w:p w14:paraId="33800874">
      <w:pPr>
        <w:pStyle w:val="5"/>
        <w:numPr>
          <w:ilvl w:val="0"/>
          <w:numId w:val="20"/>
        </w:numPr>
        <w:ind w:left="840"/>
        <w:rPr>
          <w:b/>
          <w:bCs/>
          <w:i/>
          <w:iCs/>
          <w:sz w:val="18"/>
          <w:szCs w:val="18"/>
        </w:rPr>
      </w:pPr>
      <w:r>
        <w:rPr>
          <w:b/>
          <w:bCs/>
          <w:i/>
          <w:iCs/>
          <w:sz w:val="18"/>
          <w:szCs w:val="18"/>
        </w:rPr>
        <w:t>OFF/Deep Sleep: UE effectively off or in deepest sleep (e.g. airplane mode or power off of radio).</w:t>
      </w:r>
    </w:p>
    <w:p w14:paraId="4648873C">
      <w:pPr>
        <w:pStyle w:val="5"/>
      </w:pPr>
    </w:p>
    <w:p w14:paraId="0683CBC5">
      <w:pPr>
        <w:pStyle w:val="5"/>
        <w:rPr>
          <w:b/>
          <w:bCs/>
          <w:i/>
          <w:iCs/>
        </w:rPr>
      </w:pPr>
      <w:r>
        <w:rPr>
          <w:b/>
          <w:bCs/>
          <w:i/>
          <w:iCs/>
        </w:rPr>
        <w:t xml:space="preserve">Proposal 7: </w:t>
      </w:r>
      <w:r>
        <w:rPr>
          <w:b/>
          <w:bCs/>
          <w:i/>
          <w:iCs/>
          <w:lang w:eastAsia="zh-CN"/>
        </w:rPr>
        <w:t>D</w:t>
      </w:r>
      <w:r>
        <w:rPr>
          <w:b/>
          <w:bCs/>
          <w:i/>
          <w:iCs/>
        </w:rPr>
        <w:t>efine a set of parameters for the unified 6G UE model, for example:</w:t>
      </w:r>
    </w:p>
    <w:p w14:paraId="7AF9FC71">
      <w:pPr>
        <w:pStyle w:val="84"/>
        <w:numPr>
          <w:ilvl w:val="0"/>
          <w:numId w:val="22"/>
        </w:numPr>
        <w:rPr>
          <w:b/>
          <w:bCs/>
          <w:i/>
          <w:iCs/>
          <w:sz w:val="18"/>
          <w:szCs w:val="18"/>
        </w:rPr>
      </w:pPr>
      <m:oMath>
        <m:sSub>
          <m:sSubPr>
            <m:ctrlPr>
              <w:rPr>
                <w:rFonts w:ascii="DejaVu Math TeX Gyre" w:hAnsi="DejaVu Math TeX Gyre"/>
                <w:b/>
                <w:bCs/>
                <w:i/>
                <w:iCs/>
                <w:sz w:val="18"/>
                <w:szCs w:val="18"/>
              </w:rPr>
            </m:ctrlPr>
          </m:sSubPr>
          <m:e>
            <m:r>
              <m:rPr>
                <m:sty m:val="bi"/>
              </m:rPr>
              <w:rPr>
                <w:rFonts w:ascii="DejaVu Math TeX Gyre" w:hAnsi="DejaVu Math TeX Gyre"/>
                <w:sz w:val="18"/>
                <w:szCs w:val="18"/>
              </w:rPr>
              <m:t>N</m:t>
            </m:r>
            <m:ctrlPr>
              <w:rPr>
                <w:rFonts w:ascii="DejaVu Math TeX Gyre" w:hAnsi="DejaVu Math TeX Gyre"/>
                <w:b/>
                <w:bCs/>
                <w:i/>
                <w:iCs/>
                <w:sz w:val="18"/>
                <w:szCs w:val="18"/>
              </w:rPr>
            </m:ctrlPr>
          </m:e>
          <m:sub>
            <m:r>
              <m:rPr>
                <m:sty m:val="bi"/>
              </m:rPr>
              <w:rPr>
                <w:rFonts w:ascii="DejaVu Math TeX Gyre" w:hAnsi="DejaVu Math TeX Gyre"/>
                <w:sz w:val="18"/>
                <w:szCs w:val="18"/>
              </w:rPr>
              <m:t>Rx</m:t>
            </m:r>
            <m:ctrlPr>
              <w:rPr>
                <w:rFonts w:ascii="DejaVu Math TeX Gyre" w:hAnsi="DejaVu Math TeX Gyre"/>
                <w:b/>
                <w:bCs/>
                <w:i/>
                <w:iCs/>
                <w:sz w:val="18"/>
                <w:szCs w:val="18"/>
              </w:rPr>
            </m:ctrlPr>
          </m:sub>
        </m:sSub>
      </m:oMath>
      <w:r>
        <w:rPr>
          <w:b/>
          <w:bCs/>
          <w:i/>
          <w:iCs/>
          <w:sz w:val="18"/>
          <w:szCs w:val="18"/>
        </w:rPr>
        <w:t xml:space="preserve">, </w:t>
      </w:r>
      <m:oMath>
        <m:sSub>
          <m:sSubPr>
            <m:ctrlPr>
              <w:rPr>
                <w:rFonts w:ascii="DejaVu Math TeX Gyre" w:hAnsi="DejaVu Math TeX Gyre"/>
                <w:b/>
                <w:bCs/>
                <w:i/>
                <w:iCs/>
                <w:sz w:val="18"/>
                <w:szCs w:val="18"/>
              </w:rPr>
            </m:ctrlPr>
          </m:sSubPr>
          <m:e>
            <m:r>
              <m:rPr>
                <m:sty m:val="bi"/>
              </m:rPr>
              <w:rPr>
                <w:rFonts w:ascii="DejaVu Math TeX Gyre" w:hAnsi="DejaVu Math TeX Gyre"/>
                <w:sz w:val="18"/>
                <w:szCs w:val="18"/>
              </w:rPr>
              <m:t>N</m:t>
            </m:r>
            <m:ctrlPr>
              <w:rPr>
                <w:rFonts w:ascii="DejaVu Math TeX Gyre" w:hAnsi="DejaVu Math TeX Gyre"/>
                <w:b/>
                <w:bCs/>
                <w:i/>
                <w:iCs/>
                <w:sz w:val="18"/>
                <w:szCs w:val="18"/>
              </w:rPr>
            </m:ctrlPr>
          </m:e>
          <m:sub>
            <m:r>
              <m:rPr>
                <m:sty m:val="bi"/>
              </m:rPr>
              <w:rPr>
                <w:rFonts w:ascii="DejaVu Math TeX Gyre" w:hAnsi="DejaVu Math TeX Gyre"/>
                <w:sz w:val="18"/>
                <w:szCs w:val="18"/>
              </w:rPr>
              <m:t>Tx</m:t>
            </m:r>
            <m:ctrlPr>
              <w:rPr>
                <w:rFonts w:ascii="DejaVu Math TeX Gyre" w:hAnsi="DejaVu Math TeX Gyre"/>
                <w:b/>
                <w:bCs/>
                <w:i/>
                <w:iCs/>
                <w:sz w:val="18"/>
                <w:szCs w:val="18"/>
              </w:rPr>
            </m:ctrlPr>
          </m:sub>
        </m:sSub>
      </m:oMath>
      <w:r>
        <w:rPr>
          <w:b/>
          <w:bCs/>
          <w:i/>
          <w:iCs/>
          <w:sz w:val="18"/>
          <w:szCs w:val="18"/>
        </w:rPr>
        <w:t>: number of RF chains.</w:t>
      </w:r>
    </w:p>
    <w:p w14:paraId="54BCC666">
      <w:pPr>
        <w:pStyle w:val="84"/>
        <w:numPr>
          <w:ilvl w:val="0"/>
          <w:numId w:val="22"/>
        </w:numPr>
        <w:rPr>
          <w:b/>
          <w:bCs/>
          <w:i/>
          <w:iCs/>
          <w:sz w:val="18"/>
          <w:szCs w:val="18"/>
        </w:rPr>
      </w:pPr>
      <m:oMath>
        <m:sSub>
          <m:sSubPr>
            <m:ctrlPr>
              <w:rPr>
                <w:rFonts w:ascii="DejaVu Math TeX Gyre" w:hAnsi="DejaVu Math TeX Gyre"/>
                <w:b/>
                <w:bCs/>
                <w:i/>
                <w:iCs/>
                <w:sz w:val="18"/>
                <w:szCs w:val="18"/>
              </w:rPr>
            </m:ctrlPr>
          </m:sSubPr>
          <m:e>
            <m:r>
              <m:rPr>
                <m:sty m:val="bi"/>
              </m:rPr>
              <w:rPr>
                <w:rFonts w:ascii="DejaVu Math TeX Gyre" w:hAnsi="DejaVu Math TeX Gyre"/>
                <w:sz w:val="18"/>
                <w:szCs w:val="18"/>
              </w:rPr>
              <m:t>BW</m:t>
            </m:r>
            <m:ctrlPr>
              <w:rPr>
                <w:rFonts w:ascii="DejaVu Math TeX Gyre" w:hAnsi="DejaVu Math TeX Gyre"/>
                <w:b/>
                <w:bCs/>
                <w:i/>
                <w:iCs/>
                <w:sz w:val="18"/>
                <w:szCs w:val="18"/>
              </w:rPr>
            </m:ctrlPr>
          </m:e>
          <m:sub>
            <m:r>
              <m:rPr>
                <m:sty m:val="bi"/>
              </m:rPr>
              <w:rPr>
                <w:rFonts w:ascii="DejaVu Math TeX Gyre" w:hAnsi="DejaVu Math TeX Gyre"/>
                <w:sz w:val="18"/>
                <w:szCs w:val="18"/>
              </w:rPr>
              <m:t>max</m:t>
            </m:r>
            <m:ctrlPr>
              <w:rPr>
                <w:rFonts w:ascii="DejaVu Math TeX Gyre" w:hAnsi="DejaVu Math TeX Gyre"/>
                <w:b/>
                <w:bCs/>
                <w:i/>
                <w:iCs/>
                <w:sz w:val="18"/>
                <w:szCs w:val="18"/>
              </w:rPr>
            </m:ctrlPr>
          </m:sub>
        </m:sSub>
      </m:oMath>
      <w:r>
        <w:rPr>
          <w:b/>
          <w:bCs/>
          <w:i/>
          <w:iCs/>
          <w:sz w:val="18"/>
          <w:szCs w:val="18"/>
        </w:rPr>
        <w:t>: maximum supported bandwidth.</w:t>
      </w:r>
    </w:p>
    <w:p w14:paraId="569F1EAC">
      <w:pPr>
        <w:pStyle w:val="84"/>
        <w:numPr>
          <w:ilvl w:val="0"/>
          <w:numId w:val="22"/>
        </w:numPr>
        <w:rPr>
          <w:b/>
          <w:bCs/>
          <w:i/>
          <w:iCs/>
          <w:sz w:val="18"/>
          <w:szCs w:val="18"/>
        </w:rPr>
      </w:pPr>
      <m:oMath>
        <m:sSub>
          <m:sSubPr>
            <m:ctrlPr>
              <w:rPr>
                <w:rFonts w:ascii="DejaVu Math TeX Gyre" w:hAnsi="DejaVu Math TeX Gyre"/>
                <w:b/>
                <w:bCs/>
                <w:i/>
                <w:iCs/>
                <w:sz w:val="18"/>
                <w:szCs w:val="18"/>
              </w:rPr>
            </m:ctrlPr>
          </m:sSubPr>
          <m:e>
            <m:r>
              <m:rPr>
                <m:sty m:val="bi"/>
              </m:rPr>
              <w:rPr>
                <w:rFonts w:ascii="DejaVu Math TeX Gyre" w:hAnsi="DejaVu Math TeX Gyre"/>
                <w:sz w:val="18"/>
                <w:szCs w:val="18"/>
              </w:rPr>
              <m:t>P</m:t>
            </m:r>
            <m:ctrlPr>
              <w:rPr>
                <w:rFonts w:ascii="DejaVu Math TeX Gyre" w:hAnsi="DejaVu Math TeX Gyre"/>
                <w:b/>
                <w:bCs/>
                <w:i/>
                <w:iCs/>
                <w:sz w:val="18"/>
                <w:szCs w:val="18"/>
              </w:rPr>
            </m:ctrlPr>
          </m:e>
          <m:sub>
            <m:r>
              <m:rPr>
                <m:sty m:val="bi"/>
              </m:rPr>
              <w:rPr>
                <w:rFonts w:ascii="DejaVu Math TeX Gyre" w:hAnsi="DejaVu Math TeX Gyre"/>
                <w:sz w:val="18"/>
                <w:szCs w:val="18"/>
              </w:rPr>
              <m:t>max,UE</m:t>
            </m:r>
            <m:ctrlPr>
              <w:rPr>
                <w:rFonts w:ascii="DejaVu Math TeX Gyre" w:hAnsi="DejaVu Math TeX Gyre"/>
                <w:b/>
                <w:bCs/>
                <w:i/>
                <w:iCs/>
                <w:sz w:val="18"/>
                <w:szCs w:val="18"/>
              </w:rPr>
            </m:ctrlPr>
          </m:sub>
        </m:sSub>
      </m:oMath>
      <w:r>
        <w:rPr>
          <w:b/>
          <w:bCs/>
          <w:i/>
          <w:iCs/>
          <w:sz w:val="18"/>
          <w:szCs w:val="18"/>
        </w:rPr>
        <w:t>: max transmit power of UE (e.g. 23 dBm for handheld, 14 dBm~20dBm for other LP devices).</w:t>
      </w:r>
    </w:p>
    <w:p w14:paraId="556DE20D">
      <w:pPr>
        <w:pStyle w:val="84"/>
        <w:numPr>
          <w:ilvl w:val="0"/>
          <w:numId w:val="22"/>
        </w:numPr>
        <w:rPr>
          <w:b/>
          <w:bCs/>
          <w:i/>
          <w:iCs/>
          <w:sz w:val="18"/>
          <w:szCs w:val="18"/>
        </w:rPr>
      </w:pPr>
      <m:oMath>
        <m:sSub>
          <m:sSubPr>
            <m:ctrlPr>
              <w:rPr>
                <w:rFonts w:ascii="DejaVu Math TeX Gyre" w:hAnsi="DejaVu Math TeX Gyre"/>
                <w:b/>
                <w:bCs/>
                <w:i/>
                <w:iCs/>
                <w:sz w:val="18"/>
                <w:szCs w:val="18"/>
              </w:rPr>
            </m:ctrlPr>
          </m:sSubPr>
          <m:e>
            <m:r>
              <m:rPr>
                <m:sty m:val="bi"/>
              </m:rPr>
              <w:rPr>
                <w:rFonts w:ascii="DejaVu Math TeX Gyre" w:hAnsi="DejaVu Math TeX Gyre"/>
                <w:sz w:val="18"/>
                <w:szCs w:val="18"/>
              </w:rPr>
              <m:t>b</m:t>
            </m:r>
            <m:ctrlPr>
              <w:rPr>
                <w:rFonts w:ascii="DejaVu Math TeX Gyre" w:hAnsi="DejaVu Math TeX Gyre"/>
                <w:b/>
                <w:bCs/>
                <w:i/>
                <w:iCs/>
                <w:sz w:val="18"/>
                <w:szCs w:val="18"/>
              </w:rPr>
            </m:ctrlPr>
          </m:e>
          <m:sub>
            <m:r>
              <m:rPr>
                <m:sty m:val="bi"/>
              </m:rPr>
              <w:rPr>
                <w:rFonts w:ascii="DejaVu Math TeX Gyre" w:hAnsi="DejaVu Math TeX Gyre"/>
                <w:sz w:val="18"/>
                <w:szCs w:val="18"/>
              </w:rPr>
              <m:t>WUR</m:t>
            </m:r>
            <m:ctrlPr>
              <w:rPr>
                <w:rFonts w:ascii="DejaVu Math TeX Gyre" w:hAnsi="DejaVu Math TeX Gyre"/>
                <w:b/>
                <w:bCs/>
                <w:i/>
                <w:iCs/>
                <w:sz w:val="18"/>
                <w:szCs w:val="18"/>
              </w:rPr>
            </m:ctrlPr>
          </m:sub>
        </m:sSub>
      </m:oMath>
      <w:r>
        <w:rPr>
          <w:b/>
          <w:bCs/>
          <w:i/>
          <w:iCs/>
          <w:sz w:val="18"/>
          <w:szCs w:val="18"/>
        </w:rPr>
        <w:t>: boolean for wake-up receiver presence.</w:t>
      </w:r>
    </w:p>
    <w:p w14:paraId="538FC630">
      <w:pPr>
        <w:pStyle w:val="84"/>
        <w:numPr>
          <w:ilvl w:val="0"/>
          <w:numId w:val="22"/>
        </w:numPr>
        <w:rPr>
          <w:b/>
          <w:bCs/>
          <w:i/>
          <w:iCs/>
          <w:sz w:val="18"/>
          <w:szCs w:val="18"/>
        </w:rPr>
      </w:pPr>
      <m:oMath>
        <m:sSub>
          <m:sSubPr>
            <m:ctrlPr>
              <w:rPr>
                <w:rFonts w:ascii="DejaVu Math TeX Gyre" w:hAnsi="DejaVu Math TeX Gyre"/>
                <w:b/>
                <w:bCs/>
                <w:i/>
                <w:iCs/>
                <w:sz w:val="18"/>
                <w:szCs w:val="18"/>
              </w:rPr>
            </m:ctrlPr>
          </m:sSubPr>
          <m:e>
            <m:r>
              <m:rPr>
                <m:sty m:val="bi"/>
              </m:rPr>
              <w:rPr>
                <w:rFonts w:ascii="DejaVu Math TeX Gyre" w:hAnsi="DejaVu Math TeX Gyre"/>
                <w:sz w:val="18"/>
                <w:szCs w:val="18"/>
              </w:rPr>
              <m:t>I</m:t>
            </m:r>
            <m:ctrlPr>
              <w:rPr>
                <w:rFonts w:ascii="DejaVu Math TeX Gyre" w:hAnsi="DejaVu Math TeX Gyre"/>
                <w:b/>
                <w:bCs/>
                <w:i/>
                <w:iCs/>
                <w:sz w:val="18"/>
                <w:szCs w:val="18"/>
              </w:rPr>
            </m:ctrlPr>
          </m:e>
          <m:sub>
            <m:r>
              <m:rPr>
                <m:sty m:val="bi"/>
              </m:rPr>
              <w:rPr>
                <w:rFonts w:ascii="DejaVu Math TeX Gyre" w:hAnsi="DejaVu Math TeX Gyre"/>
                <w:sz w:val="18"/>
                <w:szCs w:val="18"/>
              </w:rPr>
              <m:t>deep_sleep</m:t>
            </m:r>
            <m:ctrlPr>
              <w:rPr>
                <w:rFonts w:ascii="DejaVu Math TeX Gyre" w:hAnsi="DejaVu Math TeX Gyre"/>
                <w:b/>
                <w:bCs/>
                <w:i/>
                <w:iCs/>
                <w:sz w:val="18"/>
                <w:szCs w:val="18"/>
              </w:rPr>
            </m:ctrlPr>
          </m:sub>
        </m:sSub>
      </m:oMath>
      <w:r>
        <w:rPr>
          <w:b/>
          <w:bCs/>
          <w:i/>
          <w:iCs/>
          <w:sz w:val="18"/>
          <w:szCs w:val="18"/>
        </w:rPr>
        <w:t>: baseline current draw in deepest sleep (could be a few microamps for IoT vs higher for smartphone due to larger circuits).</w:t>
      </w:r>
    </w:p>
    <w:p w14:paraId="79EB4354">
      <w:pPr>
        <w:pStyle w:val="84"/>
        <w:numPr>
          <w:ilvl w:val="0"/>
          <w:numId w:val="22"/>
        </w:numPr>
        <w:rPr>
          <w:b/>
          <w:bCs/>
          <w:i/>
          <w:iCs/>
          <w:sz w:val="18"/>
          <w:szCs w:val="18"/>
        </w:rPr>
      </w:pPr>
      <m:oMath>
        <m:sSub>
          <m:sSubPr>
            <m:ctrlPr>
              <w:rPr>
                <w:rFonts w:ascii="DejaVu Math TeX Gyre" w:hAnsi="DejaVu Math TeX Gyre"/>
                <w:b/>
                <w:bCs/>
                <w:i/>
                <w:iCs/>
                <w:sz w:val="18"/>
                <w:szCs w:val="18"/>
              </w:rPr>
            </m:ctrlPr>
          </m:sSubPr>
          <m:e>
            <m:r>
              <m:rPr>
                <m:sty m:val="bi"/>
              </m:rPr>
              <w:rPr>
                <w:rFonts w:ascii="DejaVu Math TeX Gyre" w:hAnsi="DejaVu Math TeX Gyre"/>
                <w:sz w:val="18"/>
                <w:szCs w:val="18"/>
              </w:rPr>
              <m:t>T</m:t>
            </m:r>
            <m:ctrlPr>
              <w:rPr>
                <w:rFonts w:ascii="DejaVu Math TeX Gyre" w:hAnsi="DejaVu Math TeX Gyre"/>
                <w:b/>
                <w:bCs/>
                <w:i/>
                <w:iCs/>
                <w:sz w:val="18"/>
                <w:szCs w:val="18"/>
              </w:rPr>
            </m:ctrlPr>
          </m:e>
          <m:sub>
            <m:r>
              <m:rPr>
                <m:sty m:val="bi"/>
              </m:rPr>
              <w:rPr>
                <w:rFonts w:ascii="DejaVu Math TeX Gyre" w:hAnsi="DejaVu Math TeX Gyre"/>
                <w:sz w:val="18"/>
                <w:szCs w:val="18"/>
              </w:rPr>
              <m:t>DRX,Idle</m:t>
            </m:r>
            <m:ctrlPr>
              <w:rPr>
                <w:rFonts w:ascii="DejaVu Math TeX Gyre" w:hAnsi="DejaVu Math TeX Gyre"/>
                <w:b/>
                <w:bCs/>
                <w:i/>
                <w:iCs/>
                <w:sz w:val="18"/>
                <w:szCs w:val="18"/>
              </w:rPr>
            </m:ctrlPr>
          </m:sub>
        </m:sSub>
      </m:oMath>
      <w:r>
        <w:rPr>
          <w:b/>
          <w:bCs/>
          <w:i/>
          <w:iCs/>
          <w:sz w:val="18"/>
          <w:szCs w:val="18"/>
        </w:rPr>
        <w:t xml:space="preserve">, </w:t>
      </w:r>
      <m:oMath>
        <m:sSub>
          <m:sSubPr>
            <m:ctrlPr>
              <w:rPr>
                <w:rFonts w:ascii="DejaVu Math TeX Gyre" w:hAnsi="DejaVu Math TeX Gyre"/>
                <w:b/>
                <w:bCs/>
                <w:i/>
                <w:iCs/>
                <w:sz w:val="18"/>
                <w:szCs w:val="18"/>
              </w:rPr>
            </m:ctrlPr>
          </m:sSubPr>
          <m:e>
            <m:r>
              <m:rPr>
                <m:sty m:val="bi"/>
              </m:rPr>
              <w:rPr>
                <w:rFonts w:ascii="DejaVu Math TeX Gyre" w:hAnsi="DejaVu Math TeX Gyre"/>
                <w:sz w:val="18"/>
                <w:szCs w:val="18"/>
              </w:rPr>
              <m:t>T</m:t>
            </m:r>
            <m:ctrlPr>
              <w:rPr>
                <w:rFonts w:ascii="DejaVu Math TeX Gyre" w:hAnsi="DejaVu Math TeX Gyre"/>
                <w:b/>
                <w:bCs/>
                <w:i/>
                <w:iCs/>
                <w:sz w:val="18"/>
                <w:szCs w:val="18"/>
              </w:rPr>
            </m:ctrlPr>
          </m:e>
          <m:sub>
            <m:r>
              <m:rPr>
                <m:sty m:val="bi"/>
              </m:rPr>
              <w:rPr>
                <w:rFonts w:ascii="DejaVu Math TeX Gyre" w:hAnsi="DejaVu Math TeX Gyre"/>
                <w:sz w:val="18"/>
                <w:szCs w:val="18"/>
              </w:rPr>
              <m:t>DRX,Inactive</m:t>
            </m:r>
            <m:ctrlPr>
              <w:rPr>
                <w:rFonts w:ascii="DejaVu Math TeX Gyre" w:hAnsi="DejaVu Math TeX Gyre"/>
                <w:b/>
                <w:bCs/>
                <w:i/>
                <w:iCs/>
                <w:sz w:val="18"/>
                <w:szCs w:val="18"/>
              </w:rPr>
            </m:ctrlPr>
          </m:sub>
        </m:sSub>
      </m:oMath>
      <w:r>
        <w:rPr>
          <w:b/>
          <w:bCs/>
          <w:i/>
          <w:iCs/>
          <w:sz w:val="18"/>
          <w:szCs w:val="18"/>
        </w:rPr>
        <w:t>: DRX cycle lengths.</w:t>
      </w:r>
    </w:p>
    <w:p w14:paraId="2A0F09EA">
      <w:pPr>
        <w:pStyle w:val="84"/>
        <w:numPr>
          <w:ilvl w:val="0"/>
          <w:numId w:val="22"/>
        </w:numPr>
        <w:rPr>
          <w:b/>
          <w:bCs/>
          <w:i/>
          <w:iCs/>
          <w:sz w:val="18"/>
          <w:szCs w:val="18"/>
        </w:rPr>
      </w:pPr>
      <m:oMath>
        <m:sSub>
          <m:sSubPr>
            <m:ctrlPr>
              <w:rPr>
                <w:rFonts w:ascii="DejaVu Math TeX Gyre" w:hAnsi="DejaVu Math TeX Gyre"/>
                <w:b/>
                <w:bCs/>
                <w:i/>
                <w:iCs/>
                <w:sz w:val="18"/>
                <w:szCs w:val="18"/>
              </w:rPr>
            </m:ctrlPr>
          </m:sSubPr>
          <m:e>
            <m:r>
              <m:rPr>
                <m:sty m:val="bi"/>
              </m:rPr>
              <w:rPr>
                <w:rFonts w:ascii="DejaVu Math TeX Gyre" w:hAnsi="DejaVu Math TeX Gyre"/>
                <w:sz w:val="18"/>
                <w:szCs w:val="18"/>
              </w:rPr>
              <m:t>E</m:t>
            </m:r>
            <m:ctrlPr>
              <w:rPr>
                <w:rFonts w:ascii="DejaVu Math TeX Gyre" w:hAnsi="DejaVu Math TeX Gyre"/>
                <w:b/>
                <w:bCs/>
                <w:i/>
                <w:iCs/>
                <w:sz w:val="18"/>
                <w:szCs w:val="18"/>
              </w:rPr>
            </m:ctrlPr>
          </m:e>
          <m:sub>
            <m:r>
              <m:rPr>
                <m:sty m:val="bi"/>
              </m:rPr>
              <w:rPr>
                <w:rFonts w:ascii="DejaVu Math TeX Gyre" w:hAnsi="DejaVu Math TeX Gyre"/>
                <w:sz w:val="18"/>
                <w:szCs w:val="18"/>
              </w:rPr>
              <m:t>paging</m:t>
            </m:r>
            <m:ctrlPr>
              <w:rPr>
                <w:rFonts w:ascii="DejaVu Math TeX Gyre" w:hAnsi="DejaVu Math TeX Gyre"/>
                <w:b/>
                <w:bCs/>
                <w:i/>
                <w:iCs/>
                <w:sz w:val="18"/>
                <w:szCs w:val="18"/>
              </w:rPr>
            </m:ctrlPr>
          </m:sub>
        </m:sSub>
      </m:oMath>
      <w:r>
        <w:rPr>
          <w:b/>
          <w:bCs/>
          <w:i/>
          <w:iCs/>
          <w:sz w:val="18"/>
          <w:szCs w:val="18"/>
        </w:rPr>
        <w:t>: energy per paging occasion (depends on number of sync blocks, etc., but we can assume a typical value scaled by bandwidth and RF chains).</w:t>
      </w:r>
    </w:p>
    <w:p w14:paraId="7F17BC5A">
      <w:pPr>
        <w:pStyle w:val="84"/>
        <w:numPr>
          <w:ilvl w:val="0"/>
          <w:numId w:val="22"/>
        </w:numPr>
        <w:rPr>
          <w:b/>
          <w:bCs/>
          <w:i/>
          <w:iCs/>
          <w:sz w:val="18"/>
          <w:szCs w:val="18"/>
        </w:rPr>
      </w:pPr>
      <m:oMath>
        <m:sSub>
          <m:sSubPr>
            <m:ctrlPr>
              <w:rPr>
                <w:rFonts w:ascii="DejaVu Math TeX Gyre" w:hAnsi="DejaVu Math TeX Gyre"/>
                <w:b/>
                <w:bCs/>
                <w:i/>
                <w:iCs/>
                <w:sz w:val="18"/>
                <w:szCs w:val="18"/>
              </w:rPr>
            </m:ctrlPr>
          </m:sSubPr>
          <m:e>
            <m:r>
              <m:rPr>
                <m:sty m:val="bi"/>
              </m:rPr>
              <w:rPr>
                <w:rFonts w:ascii="DejaVu Math TeX Gyre" w:hAnsi="DejaVu Math TeX Gyre"/>
                <w:sz w:val="18"/>
                <w:szCs w:val="18"/>
              </w:rPr>
              <m:t>E</m:t>
            </m:r>
            <m:ctrlPr>
              <w:rPr>
                <w:rFonts w:ascii="DejaVu Math TeX Gyre" w:hAnsi="DejaVu Math TeX Gyre"/>
                <w:b/>
                <w:bCs/>
                <w:i/>
                <w:iCs/>
                <w:sz w:val="18"/>
                <w:szCs w:val="18"/>
              </w:rPr>
            </m:ctrlPr>
          </m:e>
          <m:sub>
            <m:r>
              <m:rPr>
                <m:sty m:val="bi"/>
              </m:rPr>
              <w:rPr>
                <w:rFonts w:ascii="DejaVu Math TeX Gyre" w:hAnsi="DejaVu Math TeX Gyre"/>
                <w:sz w:val="18"/>
                <w:szCs w:val="18"/>
              </w:rPr>
              <m:t>TxPacket</m:t>
            </m:r>
            <m:ctrlPr>
              <w:rPr>
                <w:rFonts w:ascii="DejaVu Math TeX Gyre" w:hAnsi="DejaVu Math TeX Gyre"/>
                <w:b/>
                <w:bCs/>
                <w:i/>
                <w:iCs/>
                <w:sz w:val="18"/>
                <w:szCs w:val="18"/>
              </w:rPr>
            </m:ctrlPr>
          </m:sub>
        </m:sSub>
      </m:oMath>
      <w:r>
        <w:rPr>
          <w:b/>
          <w:bCs/>
          <w:i/>
          <w:iCs/>
          <w:sz w:val="18"/>
          <w:szCs w:val="18"/>
        </w:rPr>
        <w:t>: energy per uplink packet transmission (could be further detailed by data size, but for modeling, average power works).</w:t>
      </w:r>
    </w:p>
    <w:p w14:paraId="1E40DA99">
      <w:pPr>
        <w:pStyle w:val="5"/>
        <w:rPr>
          <w:b/>
          <w:bCs/>
          <w:i/>
          <w:iCs/>
        </w:rPr>
      </w:pPr>
    </w:p>
    <w:p w14:paraId="09F99E6E">
      <w:pPr>
        <w:pStyle w:val="5"/>
        <w:rPr>
          <w:b/>
          <w:bCs/>
          <w:sz w:val="18"/>
          <w:szCs w:val="18"/>
        </w:rPr>
      </w:pPr>
      <w:r>
        <w:rPr>
          <w:b/>
          <w:bCs/>
          <w:i/>
          <w:iCs/>
        </w:rPr>
        <w:t>Proposal 8: Further consider how to study 6G UE power model when unification is not feasible or in FR3 band.</w:t>
      </w:r>
    </w:p>
    <w:bookmarkEnd w:id="7"/>
    <w:p w14:paraId="4396BDCE">
      <w:pPr>
        <w:pBdr>
          <w:bottom w:val="single" w:color="auto" w:sz="4" w:space="1"/>
        </w:pBdr>
        <w:spacing w:after="0"/>
        <w:jc w:val="left"/>
        <w:rPr>
          <w:b/>
          <w:kern w:val="2"/>
          <w:sz w:val="16"/>
          <w:szCs w:val="16"/>
          <w:lang w:eastAsia="zh-CN"/>
        </w:rPr>
      </w:pPr>
    </w:p>
    <w:p w14:paraId="5270B050">
      <w:pPr>
        <w:pStyle w:val="2"/>
        <w:rPr>
          <w:lang w:eastAsia="zh-CN"/>
        </w:rPr>
      </w:pPr>
      <w:r>
        <w:rPr>
          <w:szCs w:val="24"/>
          <w:lang w:eastAsia="zh-CN"/>
        </w:rPr>
        <w:t xml:space="preserve"> </w:t>
      </w:r>
      <w:r>
        <w:rPr>
          <w:rFonts w:hint="eastAsia"/>
          <w:szCs w:val="24"/>
          <w:lang w:eastAsia="zh-CN"/>
        </w:rPr>
        <w:t>M</w:t>
      </w:r>
      <w:r>
        <w:rPr>
          <w:szCs w:val="24"/>
        </w:rPr>
        <w:t>etrics</w:t>
      </w:r>
      <w:r>
        <w:rPr>
          <w:rFonts w:hint="default"/>
          <w:szCs w:val="24"/>
          <w:lang w:val="en-US"/>
        </w:rPr>
        <w:t xml:space="preserve"> </w:t>
      </w:r>
      <w:r>
        <w:rPr>
          <w:szCs w:val="24"/>
        </w:rPr>
        <w:t xml:space="preserve">for </w:t>
      </w:r>
      <w:r>
        <w:rPr>
          <w:rFonts w:hint="eastAsia"/>
          <w:szCs w:val="24"/>
          <w:lang w:eastAsia="zh-CN"/>
        </w:rPr>
        <w:t>6GR</w:t>
      </w:r>
      <w:r>
        <w:rPr>
          <w:szCs w:val="24"/>
        </w:rPr>
        <w:t xml:space="preserve"> energy efficiency</w:t>
      </w:r>
    </w:p>
    <w:p w14:paraId="0FADAD31">
      <w:pPr>
        <w:rPr>
          <w:lang w:eastAsia="zh-CN"/>
        </w:rPr>
      </w:pPr>
      <w:r>
        <w:rPr>
          <w:lang w:eastAsia="zh-CN"/>
        </w:rPr>
        <w:t>Energy efficiency (EE) was identified as a key performance metric in both the initial 5G vision and the nascent 6G (IMT‑2030) framework. In the IMT‑2020 requirements, energy efficiency was formally defined on both network and device sides as the amount of information (bits) transmitted per unit of energy (Joule) consumed[11]. This bit-per-Joule metric set a baseline for quantifying improvements in network and terminal energy usage. Building on that, the 6G IMT‑2030 vision broadened “sustainability” objectives: it retained the bit/Joule parameter for network energy consumption while also emphasizing factors like equipment longevity, repair/reuse, and recycling as part of overall EE expectations[</w:t>
      </w:r>
      <w:r>
        <w:rPr>
          <w:rFonts w:hint="eastAsia"/>
          <w:lang w:eastAsia="zh-CN"/>
        </w:rPr>
        <w:t>1</w:t>
      </w:r>
      <w:r>
        <w:rPr>
          <w:lang w:eastAsia="zh-CN"/>
        </w:rPr>
        <w:t>2].</w:t>
      </w:r>
      <w:r>
        <w:rPr>
          <w:rFonts w:hint="eastAsia"/>
          <w:lang w:eastAsia="zh-CN"/>
        </w:rPr>
        <w:t xml:space="preserve"> Early 5G developments embedded energy efficiency as a design priority</w:t>
      </w:r>
      <w:r>
        <w:rPr>
          <w:lang w:eastAsia="zh-CN"/>
        </w:rPr>
        <w:t xml:space="preserve">, </w:t>
      </w:r>
      <w:r>
        <w:rPr>
          <w:rFonts w:hint="eastAsia"/>
          <w:lang w:eastAsia="zh-CN"/>
        </w:rPr>
        <w:t>aiming to maximize throughput per Watt and laid the groundwork for sustainability. This focus on EE was then amplified in IMT</w:t>
      </w:r>
      <w:r>
        <w:rPr>
          <w:lang w:eastAsia="zh-CN"/>
        </w:rPr>
        <w:t>-</w:t>
      </w:r>
      <w:r>
        <w:rPr>
          <w:rFonts w:hint="eastAsia"/>
          <w:lang w:eastAsia="zh-CN"/>
        </w:rPr>
        <w:t>2030 visioning, which explicitly made green network operation a core objective alongside traditional performance metrics, reflecting a shift toward more sustainable architectures in future mobile systems[1</w:t>
      </w:r>
      <w:r>
        <w:rPr>
          <w:lang w:eastAsia="zh-CN"/>
        </w:rPr>
        <w:t>2</w:t>
      </w:r>
      <w:r>
        <w:rPr>
          <w:rFonts w:hint="eastAsia"/>
          <w:lang w:eastAsia="zh-CN"/>
        </w:rPr>
        <w:t>].</w:t>
      </w:r>
    </w:p>
    <w:p w14:paraId="25C8D233">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eastAsia="zh-CN"/>
        </w:rPr>
        <w:t>3</w:t>
      </w:r>
      <w:r>
        <w:rPr>
          <w:rFonts w:ascii="Times New Roman Bold Italic" w:hAnsi="Times New Roman Bold Italic" w:cs="Times New Roman Bold Italic"/>
          <w:b/>
          <w:bCs/>
          <w:i/>
          <w:iCs/>
          <w:lang w:eastAsia="zh-CN"/>
        </w:rPr>
        <w:t>: The amount of information (bits) transmitted per unit of energy (Joule) as baseline parameter of energy efficiency has been defined in IMT-2020.</w:t>
      </w:r>
    </w:p>
    <w:p w14:paraId="0B907D44">
      <w:pPr>
        <w:rPr>
          <w:lang w:eastAsia="zh-CN"/>
        </w:rPr>
      </w:pPr>
      <w:r>
        <w:rPr>
          <w:lang w:eastAsia="zh-CN"/>
        </w:rPr>
        <w:t>We adopt rational simulation assumptions aligned with IMT‑2030 sustainability goals and 3GPP guidelines (TR 38.840 &amp; TR 38.864). IMT‑2030 emphasizes “reduced environmental impact through energy‑efficient systems”, aiming for orders-of-magnitude improvements in network energy efficiency (e.g. 6G targeting ~100× higher bit/J than 5G)[13]. Accordingly, the 3GPP study on network energy savings (TR 38.864) defines a standardized base station power model and evaluation method, focusing on techniques like deep sleep and adaptive power scaling to minimize energy use at low traffic loads. Using these frameworks, we compare Config A (baseline 6G) and Config B (optimized 6G) in three key scenarios: energy efficiency vs load, daily power profile.</w:t>
      </w:r>
    </w:p>
    <w:p w14:paraId="07377F5E">
      <w:pPr>
        <w:jc w:val="center"/>
        <w:rPr>
          <w:lang w:eastAsia="zh-CN"/>
        </w:rPr>
      </w:pPr>
      <w:r>
        <w:drawing>
          <wp:inline distT="0" distB="0" distL="114300" distR="114300">
            <wp:extent cx="2619375" cy="1591310"/>
            <wp:effectExtent l="0" t="0" r="22225" b="889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8"/>
                    <a:srcRect t="8070"/>
                    <a:stretch>
                      <a:fillRect/>
                    </a:stretch>
                  </pic:blipFill>
                  <pic:spPr>
                    <a:xfrm>
                      <a:off x="0" y="0"/>
                      <a:ext cx="2619375" cy="1591310"/>
                    </a:xfrm>
                    <a:prstGeom prst="rect">
                      <a:avLst/>
                    </a:prstGeom>
                    <a:noFill/>
                    <a:ln w="9525">
                      <a:noFill/>
                    </a:ln>
                  </pic:spPr>
                </pic:pic>
              </a:graphicData>
            </a:graphic>
          </wp:inline>
        </w:drawing>
      </w:r>
    </w:p>
    <w:p w14:paraId="499AA475">
      <w:pPr>
        <w:rPr>
          <w:lang w:eastAsia="zh-CN"/>
        </w:rPr>
      </w:pPr>
      <w:r>
        <w:rPr>
          <w:rFonts w:hint="eastAsia"/>
          <w:lang w:eastAsia="zh-CN"/>
        </w:rPr>
        <w:t>As</w:t>
      </w:r>
      <w:r>
        <w:rPr>
          <w:lang w:eastAsia="zh-CN"/>
        </w:rPr>
        <w:t xml:space="preserve"> shown in figure above, peak throughput energy efficiency (network bit/J) versus traffic load for baseline 6G (Config A) and optimized 6G (Config B). Config B consistently delivers higher bits per Joule across all load levels by reducing baseline power draw. Notably, at very low load the energy efficiency of Config A drops to nearly zero (since the base station still consumes power but carries almost no traffic). Config B’s architectural improvements (e.g. shutting down RF chains and other hardware in deep sleep) allow it to sustain far better efficiency at low loads. As load increases, both configurations improve in bit/J, reaching peak efficiency at 100% load; Config B maintains a ~10% higher peak efficiency due to more efficient components. This trend reflects 3GPP’s finding that modern RAN energy efficiency is high at full load, but degrades when traffic is light—an issue Config B addresses by scaling power with demand.</w:t>
      </w:r>
    </w:p>
    <w:p w14:paraId="69E91D5A">
      <w:pPr>
        <w:jc w:val="center"/>
        <w:rPr>
          <w:lang w:eastAsia="zh-CN"/>
        </w:rPr>
      </w:pPr>
      <w:r>
        <w:drawing>
          <wp:inline distT="0" distB="0" distL="114300" distR="114300">
            <wp:extent cx="2647950" cy="1431290"/>
            <wp:effectExtent l="0" t="0" r="19050" b="16510"/>
            <wp:docPr id="3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pic:cNvPicPr>
                      <a:picLocks noChangeAspect="1" noChangeArrowheads="1"/>
                    </pic:cNvPicPr>
                  </pic:nvPicPr>
                  <pic:blipFill>
                    <a:blip r:embed="rId9"/>
                    <a:srcRect t="9150"/>
                    <a:stretch>
                      <a:fillRect/>
                    </a:stretch>
                  </pic:blipFill>
                  <pic:spPr>
                    <a:xfrm>
                      <a:off x="0" y="0"/>
                      <a:ext cx="2647950" cy="1431290"/>
                    </a:xfrm>
                    <a:prstGeom prst="rect">
                      <a:avLst/>
                    </a:prstGeom>
                    <a:noFill/>
                    <a:ln w="9525">
                      <a:noFill/>
                    </a:ln>
                  </pic:spPr>
                </pic:pic>
              </a:graphicData>
            </a:graphic>
          </wp:inline>
        </w:drawing>
      </w:r>
    </w:p>
    <w:p w14:paraId="79DDA154">
      <w:pPr>
        <w:rPr>
          <w:lang w:eastAsia="zh-CN"/>
        </w:rPr>
      </w:pPr>
      <w:r>
        <w:rPr>
          <w:rFonts w:hint="eastAsia"/>
          <w:lang w:eastAsia="zh-CN"/>
        </w:rPr>
        <w:t>As</w:t>
      </w:r>
      <w:r>
        <w:rPr>
          <w:lang w:eastAsia="zh-CN"/>
        </w:rPr>
        <w:t xml:space="preserve"> shown in figure above, power consumption over a 24‑hour traffic cycle (one base station). The daily load curve (typical busy-day pattern with busy mid-day/evening and idle overnight) is applied to Config A and Config B. Config A (baseline) shows a high constant power draw even during idle periods (overnight), e.g. staying near ~300 W at 3 AM when traffic is zero. This is because legacy base stations must keep transmitting reference signals and remain fully active to handle any incoming traffic. In contrast, Config B (optimized) uses enhanced sleep modes: during low-traffic hours it enters deep sleep, shutting off most transmitters to draw only ~50 W for minimal beaconing and control. When traffic increases (daytime peaks), Config B swiftly reactivates hardware modules to meet demand, but still consumes less than Config A at equivalent load (due to more efficient power scaling). For example, around the 12–6 PM high-load period, Config B’s power is several hundred watts lower than Config A’s for the same traffic, demonstrating improved power scaling. These results highlight how deep sleep and dynamic resource adaptation in Config B significantly cut energy use during idle or light load periods, aligning with 3GPP’s defined sleep states (micro/light/deep) for NR base stations.</w:t>
      </w:r>
    </w:p>
    <w:p w14:paraId="7AD413F6">
      <w:pPr>
        <w:rPr>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eastAsia="zh-CN"/>
        </w:rPr>
        <w:t>4</w:t>
      </w:r>
      <w:r>
        <w:rPr>
          <w:rFonts w:ascii="Times New Roman Bold Italic" w:hAnsi="Times New Roman Bold Italic" w:cs="Times New Roman Bold Italic"/>
          <w:b/>
          <w:bCs/>
          <w:i/>
          <w:iCs/>
          <w:lang w:eastAsia="zh-CN"/>
        </w:rPr>
        <w:t>: Simulation results highlight how deep sleep and dynamic resource adaptation in Config B significantly cut energy use during idle or light load periods, aligning with 3GPP’s defined sleep states (micro/light/deep) for NR base stations.</w:t>
      </w:r>
    </w:p>
    <w:p w14:paraId="1B680C95">
      <w:pPr>
        <w:outlineLvl w:val="1"/>
        <w:rPr>
          <w:rFonts w:ascii="Times New Roman Bold" w:hAnsi="Times New Roman Bold" w:cs="Times New Roman Bold"/>
          <w:b/>
          <w:bCs/>
          <w:lang w:eastAsia="zh-CN"/>
        </w:rPr>
      </w:pPr>
      <w:r>
        <w:rPr>
          <w:rFonts w:ascii="Times New Roman Bold" w:hAnsi="Times New Roman Bold" w:cs="Times New Roman Bold"/>
          <w:b/>
          <w:bCs/>
          <w:lang w:eastAsia="zh-CN"/>
        </w:rPr>
        <w:t xml:space="preserve">4.1 Network or UE energy efficiency </w:t>
      </w:r>
      <w:r>
        <w:rPr>
          <w:rFonts w:hint="eastAsia" w:ascii="Times New Roman Bold" w:hAnsi="Times New Roman Bold" w:cs="Times New Roman Bold"/>
          <w:b/>
          <w:bCs/>
          <w:lang w:eastAsia="zh-CN"/>
        </w:rPr>
        <w:t>metrics</w:t>
      </w:r>
    </w:p>
    <w:p w14:paraId="7E434D71">
      <w:pPr>
        <w:rPr>
          <w:lang w:eastAsia="zh-CN"/>
        </w:rPr>
      </w:pPr>
      <w:r>
        <w:rPr>
          <w:lang w:eastAsia="zh-CN"/>
        </w:rPr>
        <w:t xml:space="preserve">To benchmark 6G energy efficiency in 6G day 1, one must first define clear parameters for network or UE performance. A fundamental measure is the throughput per unit energy (e.g. </w:t>
      </w:r>
      <w:r>
        <w:rPr>
          <w:rFonts w:hint="eastAsia"/>
          <w:lang w:eastAsia="zh-CN"/>
        </w:rPr>
        <w:t>bit</w:t>
      </w:r>
      <w:r>
        <w:rPr>
          <w:lang w:eastAsia="zh-CN"/>
        </w:rPr>
        <w:t>/J, sometimes expressed as “bps/W”). This captures how efficiently a terminal or base station can carry data for a given energy input. However, single metrics like bit/J need to be complemented with other aspects for a holistic view. Based on LTE/NR study, few potential parameters may be considered for 6G design:</w:t>
      </w:r>
    </w:p>
    <w:p w14:paraId="6501718F">
      <w:pPr>
        <w:numPr>
          <w:ilvl w:val="0"/>
          <w:numId w:val="23"/>
        </w:numPr>
        <w:rPr>
          <w:lang w:eastAsia="zh-CN"/>
        </w:rPr>
      </w:pPr>
      <w:r>
        <w:rPr>
          <w:rFonts w:ascii="Times New Roman Bold" w:hAnsi="Times New Roman Bold" w:cs="Times New Roman Bold"/>
          <w:b/>
          <w:bCs/>
          <w:lang w:eastAsia="zh-CN"/>
        </w:rPr>
        <w:t>Active Data Energy Efficiency (bit/J):</w:t>
      </w:r>
      <w:r>
        <w:rPr>
          <w:lang w:eastAsia="zh-CN"/>
        </w:rPr>
        <w:t xml:space="preserve"> The number of bits successfully transmitted per Joule during active operation, measured under defined load conditions (e.g. peak throughput). This quantifies how much useful data a network or UE can deliver for each unit of energy.</w:t>
      </w:r>
    </w:p>
    <w:p w14:paraId="7B565887">
      <w:pPr>
        <w:numPr>
          <w:ilvl w:val="0"/>
          <w:numId w:val="23"/>
        </w:numPr>
        <w:rPr>
          <w:lang w:eastAsia="zh-CN"/>
        </w:rPr>
      </w:pPr>
      <w:r>
        <w:rPr>
          <w:rFonts w:ascii="Times New Roman Bold" w:hAnsi="Times New Roman Bold" w:cs="Times New Roman Bold"/>
          <w:b/>
          <w:bCs/>
          <w:lang w:eastAsia="zh-CN"/>
        </w:rPr>
        <w:t>Idle Power Consumption:</w:t>
      </w:r>
      <w:r>
        <w:rPr>
          <w:lang w:eastAsia="zh-CN"/>
        </w:rPr>
        <w:t xml:space="preserve"> The baseline power draw when the device or cell is in an idle or no-traffic state. This “standby” consumption indicates energy overhead when no user data is being exchanged – a critical factor for long-term battery life and network energy waste.</w:t>
      </w:r>
    </w:p>
    <w:p w14:paraId="1C29C28C">
      <w:pPr>
        <w:numPr>
          <w:ilvl w:val="0"/>
          <w:numId w:val="23"/>
        </w:numPr>
        <w:rPr>
          <w:lang w:eastAsia="zh-CN"/>
        </w:rPr>
      </w:pPr>
      <w:r>
        <w:rPr>
          <w:rFonts w:ascii="Times New Roman Bold" w:hAnsi="Times New Roman Bold" w:cs="Times New Roman Bold"/>
          <w:b/>
          <w:bCs/>
          <w:lang w:eastAsia="zh-CN"/>
        </w:rPr>
        <w:t>Wake-up/Transition Efficiency:</w:t>
      </w:r>
      <w:r>
        <w:rPr>
          <w:lang w:eastAsia="zh-CN"/>
        </w:rPr>
        <w:t xml:space="preserve"> The energy and time cost to go from an idle or sleep state to an active state delivering data. This reflects the efficiency of mechanisms like wake-up radios and fast dormancy; an ideal terminal has ultra-low standby drain and can resume full service with minimal energy overhead. A 6G device might be rated on how effectively it leverages a WUR to listen for network triggers while letting the main transceiver sleep, thereby keeping “always-on” energy to a minimum.</w:t>
      </w:r>
    </w:p>
    <w:p w14:paraId="7786B8B9">
      <w:pPr>
        <w:rPr>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eastAsia="zh-CN"/>
        </w:rPr>
        <w:t>5</w:t>
      </w:r>
      <w:r>
        <w:rPr>
          <w:rFonts w:ascii="Times New Roman Bold Italic" w:hAnsi="Times New Roman Bold Italic" w:cs="Times New Roman Bold Italic"/>
          <w:b/>
          <w:bCs/>
          <w:i/>
          <w:iCs/>
          <w:lang w:eastAsia="zh-CN"/>
        </w:rPr>
        <w:t>: Single metric like bit/J need to be complemented with other aspects for a holistic view, other potential parameters may be considered for 6G study like active data energy efficiency, idle power consumption, or wake-up/transition efficiency, etc.</w:t>
      </w:r>
    </w:p>
    <w:p w14:paraId="31B716DD">
      <w:pPr>
        <w:outlineLvl w:val="1"/>
        <w:rPr>
          <w:rFonts w:ascii="Times New Roman Bold" w:hAnsi="Times New Roman Bold" w:cs="Times New Roman Bold"/>
          <w:b/>
          <w:bCs/>
          <w:lang w:eastAsia="zh-CN"/>
        </w:rPr>
      </w:pPr>
      <w:r>
        <w:rPr>
          <w:rFonts w:ascii="Times New Roman Bold" w:hAnsi="Times New Roman Bold" w:cs="Times New Roman Bold"/>
          <w:b/>
          <w:bCs/>
          <w:lang w:eastAsia="zh-CN"/>
        </w:rPr>
        <w:t>4.2 End to end energy efficiency parameters</w:t>
      </w:r>
    </w:p>
    <w:p w14:paraId="445187DE">
      <w:pPr>
        <w:rPr>
          <w:lang w:eastAsia="zh-CN"/>
        </w:rPr>
      </w:pPr>
      <w:r>
        <w:rPr>
          <w:lang w:eastAsia="zh-CN"/>
        </w:rPr>
        <w:t>A crucial design question is whether to define energy efficiency parameters separately for terminals and infrastructure, or to adopt an integrated end-to-end metric.</w:t>
      </w:r>
      <w:r>
        <w:rPr>
          <w:rFonts w:hint="eastAsia"/>
          <w:lang w:eastAsia="zh-CN"/>
        </w:rPr>
        <w:t xml:space="preserve"> </w:t>
      </w:r>
      <w:r>
        <w:rPr>
          <w:lang w:eastAsia="zh-CN"/>
        </w:rPr>
        <w:t xml:space="preserve">Defining separate parameters for UEs and network nodes has the advantage of tailoring benchmarks to each side’s characteristics. A handset’s parameter drives chip and OS optimizations, e.g., reducing RF chain power, screen-off radio policies, while a network parameter drives RAN hardware improvements, e.g. more efficient antenna designs, cooling and power supply, and operational strategies like turning off unused carriers. However, 6G might also consider the end-to-end energy efficiency of the communication system. Ultimately, the energy consumed to send a bit from a content server to a user’s device (including network + </w:t>
      </w:r>
      <w:r>
        <w:rPr>
          <w:rFonts w:hint="eastAsia"/>
          <w:lang w:eastAsia="zh-CN"/>
        </w:rPr>
        <w:t>UE</w:t>
      </w:r>
      <w:r>
        <w:rPr>
          <w:lang w:eastAsia="zh-CN"/>
        </w:rPr>
        <w:t>) is what matters for sustainability.</w:t>
      </w:r>
    </w:p>
    <w:p w14:paraId="1CE2E7DA">
      <w:pPr>
        <w:rPr>
          <w:lang w:eastAsia="zh-CN"/>
        </w:rPr>
      </w:pPr>
      <w:r>
        <w:rPr>
          <w:lang w:eastAsia="zh-CN"/>
        </w:rPr>
        <w:t>In practice, end-to-end metrics are harder to allocate and implement since operators and users manage different portions of the power budget, and business models are separate. A likely approach is a hybrid: maintain separate terminal and network EE ratings, but provide a mechanism or combined score to reflect cases where both sides collaborate effectively.</w:t>
      </w:r>
    </w:p>
    <w:p w14:paraId="0C05F678">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eastAsia="zh-CN"/>
        </w:rPr>
        <w:t>6</w:t>
      </w:r>
      <w:r>
        <w:rPr>
          <w:rFonts w:ascii="Times New Roman Bold Italic" w:hAnsi="Times New Roman Bold Italic" w:cs="Times New Roman Bold Italic"/>
          <w:b/>
          <w:bCs/>
          <w:i/>
          <w:iCs/>
          <w:lang w:eastAsia="zh-CN"/>
        </w:rPr>
        <w:t>: Except defining separate energy efficiency parameters for UEs and network nodes, 6G might also consider the end-to-end energy efficiency of the communication system. However, end-to-end metrics are harder to allocate and implement since operators and users manage different portions of the power budget, and business models are separate.</w:t>
      </w:r>
    </w:p>
    <w:p w14:paraId="1887A559">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eastAsia="zh-CN"/>
        </w:rPr>
        <w:t>9</w:t>
      </w:r>
      <w:r>
        <w:rPr>
          <w:rFonts w:ascii="Times New Roman Bold Italic" w:hAnsi="Times New Roman Bold Italic" w:cs="Times New Roman Bold Italic"/>
          <w:b/>
          <w:bCs/>
          <w:i/>
          <w:iCs/>
          <w:lang w:eastAsia="zh-CN"/>
        </w:rPr>
        <w:t>: Energy efficiency is baseline-defined as bits per Joule, expanded in 6G toward sustainability including equipment longevity, reuse, and recycling</w:t>
      </w:r>
      <w:r>
        <w:rPr>
          <w:rFonts w:hint="eastAsia" w:ascii="Times New Roman Bold Italic" w:hAnsi="Times New Roman Bold Italic" w:cs="Times New Roman Bold Italic"/>
          <w:b/>
          <w:bCs/>
          <w:i/>
          <w:iCs/>
          <w:lang w:eastAsia="zh-CN"/>
        </w:rPr>
        <w:t xml:space="preserve"> for</w:t>
      </w:r>
      <w:r>
        <w:rPr>
          <w:rFonts w:ascii="Times New Roman Bold Italic" w:hAnsi="Times New Roman Bold Italic" w:cs="Times New Roman Bold Italic"/>
          <w:b/>
          <w:bCs/>
          <w:i/>
          <w:iCs/>
          <w:lang w:eastAsia="zh-CN"/>
        </w:rPr>
        <w:t xml:space="preserve"> NW or UE or collaborative design.</w:t>
      </w:r>
    </w:p>
    <w:p w14:paraId="28830048">
      <w:pPr>
        <w:outlineLvl w:val="1"/>
        <w:rPr>
          <w:rFonts w:ascii="Times New Roman Bold" w:hAnsi="Times New Roman Bold" w:cs="Times New Roman Bold"/>
          <w:b/>
          <w:bCs/>
          <w:lang w:eastAsia="zh-CN"/>
        </w:rPr>
      </w:pPr>
      <w:r>
        <w:rPr>
          <w:rFonts w:ascii="Times New Roman Bold" w:hAnsi="Times New Roman Bold" w:cs="Times New Roman Bold"/>
          <w:b/>
          <w:bCs/>
          <w:lang w:eastAsia="zh-CN"/>
        </w:rPr>
        <w:t>4.3 Tradeoff between energy efficiency and spectrum efficiency/QoS</w:t>
      </w:r>
    </w:p>
    <w:p w14:paraId="32EABE31">
      <w:pPr>
        <w:pStyle w:val="83"/>
        <w:rPr>
          <w:sz w:val="22"/>
          <w:szCs w:val="22"/>
        </w:rPr>
      </w:pPr>
      <w:r>
        <w:rPr>
          <w:sz w:val="22"/>
          <w:szCs w:val="22"/>
          <w:lang w:eastAsia="zh-CN"/>
        </w:rPr>
        <w:t xml:space="preserve">As we know, </w:t>
      </w:r>
      <w:r>
        <w:rPr>
          <w:sz w:val="22"/>
          <w:szCs w:val="22"/>
        </w:rPr>
        <w:t>achieving simultaneous gains in energy efficiency, spectrum efficiency(SE), and quality of service (QoS) is inherently challenging due to physical limits. Maximizing SE (bits/Hz) often demands higher transmit power or complex signaling, which raises energy consumption–a fundamental trade-off between spectral and energy efficiency. Likewise, aggressive energy-saving measures (e.g. turning off radios or using minimal signaling) can degrade QoS, since reducing power or resources tends to sacrifice throughput, latency, or reliability. For example, meeting ultra-reliable low-latency QoS targets may require redundant transmissions or strong coding, consuming extra spectrum and power. These basic conflicts mean 6G design must carefully balance capacity, power, and service quality rather than simply maximizing each in isolation.</w:t>
      </w:r>
    </w:p>
    <w:p w14:paraId="6F19911C">
      <w:pPr>
        <w:pStyle w:val="5"/>
        <w:rPr>
          <w:sz w:val="22"/>
          <w:szCs w:val="22"/>
        </w:rPr>
      </w:pPr>
      <w:r>
        <w:rPr>
          <w:rFonts w:hint="eastAsia"/>
          <w:sz w:val="22"/>
          <w:szCs w:val="22"/>
        </w:rPr>
        <w:t>Both the IMT-2030 vision and 3GPP</w:t>
      </w:r>
      <w:r>
        <w:rPr>
          <w:sz w:val="22"/>
          <w:szCs w:val="22"/>
        </w:rPr>
        <w:t>’</w:t>
      </w:r>
      <w:r>
        <w:rPr>
          <w:rFonts w:hint="eastAsia"/>
          <w:sz w:val="22"/>
          <w:szCs w:val="22"/>
        </w:rPr>
        <w:t>s 6G efforts recognize that future networks must optimize these metrics jointly. IMT-2030 framework explicitly calls for improving energy efficiency (bits</w:t>
      </w:r>
      <w:r>
        <w:rPr>
          <w:rFonts w:hint="eastAsia"/>
          <w:sz w:val="22"/>
          <w:szCs w:val="22"/>
          <w:lang w:eastAsia="zh-CN"/>
        </w:rPr>
        <w:t>/</w:t>
      </w:r>
      <w:r>
        <w:rPr>
          <w:rFonts w:hint="eastAsia"/>
          <w:sz w:val="22"/>
          <w:szCs w:val="22"/>
        </w:rPr>
        <w:t>J) in step with capacity increases to minimize overall power usage, reflecting a goal to boost SE and EE together where possible</w:t>
      </w:r>
      <w:r>
        <w:rPr>
          <w:sz w:val="22"/>
          <w:szCs w:val="22"/>
        </w:rPr>
        <w:t>[12]</w:t>
      </w:r>
      <w:r>
        <w:rPr>
          <w:rFonts w:hint="eastAsia"/>
          <w:sz w:val="22"/>
          <w:szCs w:val="22"/>
        </w:rPr>
        <w:t>. At the same time, 3GPP has emphasized balancing energy savings with performance requirements</w:t>
      </w:r>
      <w:r>
        <w:rPr>
          <w:sz w:val="22"/>
          <w:szCs w:val="22"/>
        </w:rPr>
        <w:t xml:space="preserve">. Thus, </w:t>
      </w:r>
      <w:r>
        <w:rPr>
          <w:rFonts w:hint="eastAsia"/>
          <w:sz w:val="22"/>
          <w:szCs w:val="22"/>
          <w:lang w:eastAsia="zh-CN"/>
        </w:rPr>
        <w:t>EE</w:t>
      </w:r>
      <w:r>
        <w:rPr>
          <w:rFonts w:hint="eastAsia"/>
          <w:sz w:val="22"/>
          <w:szCs w:val="22"/>
        </w:rPr>
        <w:t xml:space="preserve"> features should not undermine meeting QoS targets, security, or other key performance objectives. In practice, this means 6G will sometimes trade a bit of spectral efficiency or peak throughput to drastically cut energy use, or vice versa, depending on the service needs. For instance, massive IoT devices (mMTC) may operate at modest data rates to prolong battery life (prioritizing EE), while eMBB applications can leverage abundant spectrum and power to maximize throughput (prioritizing SE), and URLLC links will consume whatever resources necessary to guarantee critical QoS. The 6G RAN #108 meeting underlined a holistic approach: previously separate concerns like energy efficiency are now integrated as core design objectives of a unified 6G architecture. There is a“relentless focus” on boosting spectral efficiency via new waveforms and massive MIMO alongside built-in mechanisms for sustainability. The 6G radio access network will likely be adaptive to intelligently balance SE, EE, and QoS per scenario, ensuring that high performance and low latency are delivered when needed, while idle resources are minimized to save energy. In essence, 6G aims to resolve the tension among these goals by designing for </w:t>
      </w:r>
      <w:r>
        <w:rPr>
          <w:rFonts w:hint="eastAsia"/>
          <w:sz w:val="22"/>
          <w:szCs w:val="22"/>
          <w:lang w:eastAsia="zh-CN"/>
        </w:rPr>
        <w:t>e</w:t>
      </w:r>
      <w:r>
        <w:rPr>
          <w:rFonts w:hint="eastAsia"/>
          <w:sz w:val="22"/>
          <w:szCs w:val="22"/>
        </w:rPr>
        <w:t>nergy: leveraging advanced technologies to push the efficiency frontier, yet accepting trade-offs and dynamic adjustments to meet diverse use-case requirements within fundamental limits.</w:t>
      </w:r>
    </w:p>
    <w:p w14:paraId="370F01F9">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lang w:eastAsia="zh-CN"/>
        </w:rPr>
        <w:t>Observation 2</w:t>
      </w:r>
      <w:r>
        <w:rPr>
          <w:rFonts w:hint="eastAsia" w:ascii="Times New Roman Bold Italic" w:hAnsi="Times New Roman Bold Italic" w:cs="Times New Roman Bold Italic"/>
          <w:b/>
          <w:bCs/>
          <w:i/>
          <w:iCs/>
          <w:sz w:val="22"/>
          <w:szCs w:val="22"/>
          <w:lang w:eastAsia="zh-CN"/>
        </w:rPr>
        <w:t>7</w:t>
      </w:r>
      <w:r>
        <w:rPr>
          <w:rFonts w:ascii="Times New Roman Bold Italic" w:hAnsi="Times New Roman Bold Italic" w:cs="Times New Roman Bold Italic"/>
          <w:b/>
          <w:bCs/>
          <w:i/>
          <w:iCs/>
          <w:sz w:val="22"/>
          <w:szCs w:val="22"/>
          <w:lang w:eastAsia="zh-CN"/>
        </w:rPr>
        <w:t xml:space="preserve">: </w:t>
      </w:r>
      <w:r>
        <w:rPr>
          <w:rFonts w:ascii="Times New Roman Bold Italic" w:hAnsi="Times New Roman Bold Italic" w:cs="Times New Roman Bold Italic"/>
          <w:b/>
          <w:bCs/>
          <w:i/>
          <w:iCs/>
          <w:sz w:val="22"/>
          <w:szCs w:val="22"/>
        </w:rPr>
        <w:t>IMT-2030 framework explicitly calls for improving energy efficiency (bits</w:t>
      </w:r>
      <w:r>
        <w:rPr>
          <w:rFonts w:ascii="Times New Roman Bold Italic" w:hAnsi="Times New Roman Bold Italic" w:cs="Times New Roman Bold Italic"/>
          <w:b/>
          <w:bCs/>
          <w:i/>
          <w:iCs/>
          <w:sz w:val="22"/>
          <w:szCs w:val="22"/>
          <w:lang w:eastAsia="zh-CN"/>
        </w:rPr>
        <w:t>/</w:t>
      </w:r>
      <w:r>
        <w:rPr>
          <w:rFonts w:ascii="Times New Roman Bold Italic" w:hAnsi="Times New Roman Bold Italic" w:cs="Times New Roman Bold Italic"/>
          <w:b/>
          <w:bCs/>
          <w:i/>
          <w:iCs/>
          <w:sz w:val="22"/>
          <w:szCs w:val="22"/>
        </w:rPr>
        <w:t>J) in step with capacity increases to minimize overall power usage, reflecting a goal to boost SE and EE together where possible, which is up to the services needs.</w:t>
      </w:r>
    </w:p>
    <w:p w14:paraId="3233370E">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 xml:space="preserve">Observation </w:t>
      </w:r>
      <w:r>
        <w:rPr>
          <w:rFonts w:ascii="Times New Roman Bold Italic" w:hAnsi="Times New Roman Bold Italic" w:cs="Times New Roman Bold Italic"/>
          <w:b/>
          <w:bCs/>
          <w:i/>
          <w:iCs/>
          <w:sz w:val="22"/>
          <w:szCs w:val="22"/>
          <w:lang w:eastAsia="zh-CN"/>
        </w:rPr>
        <w:t>2</w:t>
      </w:r>
      <w:r>
        <w:rPr>
          <w:rFonts w:hint="eastAsia" w:ascii="Times New Roman Bold Italic" w:hAnsi="Times New Roman Bold Italic" w:cs="Times New Roman Bold Italic"/>
          <w:b/>
          <w:bCs/>
          <w:i/>
          <w:iCs/>
          <w:sz w:val="22"/>
          <w:szCs w:val="22"/>
          <w:lang w:eastAsia="zh-CN"/>
        </w:rPr>
        <w:t>8</w:t>
      </w:r>
      <w:r>
        <w:rPr>
          <w:rFonts w:ascii="Times New Roman Bold Italic" w:hAnsi="Times New Roman Bold Italic" w:cs="Times New Roman Bold Italic"/>
          <w:b/>
          <w:bCs/>
          <w:i/>
          <w:iCs/>
          <w:sz w:val="22"/>
          <w:szCs w:val="22"/>
        </w:rPr>
        <w:t>: The 6G radio access network will likely be adaptive to intelligently balance SE, EE, and QoS per scenario, ensuring that high performance and low latency are delivered when needed, while idle resources are minimized to save energy</w:t>
      </w:r>
    </w:p>
    <w:p w14:paraId="2F891B66">
      <w:pPr>
        <w:pStyle w:val="5"/>
        <w:rPr>
          <w:rFonts w:hint="eastAsia"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 xml:space="preserve">Proposal </w:t>
      </w:r>
      <w:r>
        <w:rPr>
          <w:rFonts w:hint="eastAsia" w:ascii="Times New Roman Bold Italic" w:hAnsi="Times New Roman Bold Italic" w:cs="Times New Roman Bold Italic"/>
          <w:b/>
          <w:bCs/>
          <w:i/>
          <w:iCs/>
          <w:sz w:val="22"/>
          <w:szCs w:val="22"/>
          <w:lang w:eastAsia="zh-CN"/>
        </w:rPr>
        <w:t>10</w:t>
      </w:r>
      <w:r>
        <w:rPr>
          <w:rFonts w:ascii="Times New Roman Bold Italic" w:hAnsi="Times New Roman Bold Italic" w:cs="Times New Roman Bold Italic"/>
          <w:b/>
          <w:bCs/>
          <w:i/>
          <w:iCs/>
          <w:sz w:val="22"/>
          <w:szCs w:val="22"/>
          <w:lang w:eastAsia="zh-CN"/>
        </w:rPr>
        <w:t>:</w:t>
      </w:r>
      <w:r>
        <w:rPr>
          <w:rFonts w:hint="eastAsia" w:ascii="Times New Roman Bold Italic" w:hAnsi="Times New Roman Bold Italic" w:cs="Times New Roman Bold Italic"/>
          <w:b/>
          <w:bCs/>
          <w:i/>
          <w:iCs/>
          <w:sz w:val="22"/>
          <w:szCs w:val="22"/>
          <w:lang w:eastAsia="zh-CN"/>
        </w:rPr>
        <w:t xml:space="preserve"> 6G should jointly optimize spectrum efficiency, energy efficiency, QoS, and </w:t>
      </w:r>
      <w:r>
        <w:rPr>
          <w:rFonts w:ascii="Times New Roman Bold Italic" w:hAnsi="Times New Roman Bold Italic" w:cs="Times New Roman Bold Italic"/>
          <w:b/>
          <w:bCs/>
          <w:i/>
          <w:iCs/>
          <w:sz w:val="22"/>
          <w:szCs w:val="22"/>
          <w:lang w:eastAsia="zh-CN"/>
        </w:rPr>
        <w:t>latency or coverage</w:t>
      </w:r>
      <w:r>
        <w:rPr>
          <w:rFonts w:hint="eastAsia" w:ascii="Times New Roman Bold Italic" w:hAnsi="Times New Roman Bold Italic" w:cs="Times New Roman Bold Italic"/>
          <w:b/>
          <w:bCs/>
          <w:i/>
          <w:iCs/>
          <w:sz w:val="22"/>
          <w:szCs w:val="22"/>
          <w:lang w:eastAsia="zh-CN"/>
        </w:rPr>
        <w:t xml:space="preserve"> using adaptive RAN designs that balance throughput, latency, and power consumption across diverse service requirements.</w:t>
      </w:r>
    </w:p>
    <w:p w14:paraId="1EB19135">
      <w:pPr>
        <w:pStyle w:val="5"/>
        <w:rPr>
          <w:rFonts w:hint="eastAsia" w:ascii="Times New Roman Bold Italic" w:hAnsi="Times New Roman Bold Italic" w:cs="Times New Roman Bold Italic"/>
          <w:b/>
          <w:bCs/>
          <w:i/>
          <w:iCs/>
          <w:sz w:val="22"/>
          <w:szCs w:val="22"/>
          <w:lang w:eastAsia="zh-CN"/>
        </w:rPr>
      </w:pPr>
      <w:r>
        <w:rPr>
          <w:rFonts w:hint="eastAsia" w:ascii="Times New Roman Bold Italic" w:hAnsi="Times New Roman Bold Italic" w:cs="Times New Roman Bold Italic"/>
          <w:b/>
          <w:bCs/>
          <w:i/>
          <w:iCs/>
          <w:sz w:val="22"/>
          <w:szCs w:val="22"/>
          <w:lang w:val="en-US" w:eastAsia="zh-CN"/>
        </w:rPr>
        <w:t>Proposal 11: Consider</w:t>
      </w:r>
      <w:r>
        <w:rPr>
          <w:rFonts w:hint="default" w:ascii="Times New Roman Bold Italic" w:hAnsi="Times New Roman Bold Italic" w:cs="Times New Roman Bold Italic"/>
          <w:b/>
          <w:bCs/>
          <w:i/>
          <w:iCs/>
          <w:sz w:val="22"/>
          <w:szCs w:val="22"/>
          <w:lang w:val="en-US" w:eastAsia="zh-CN"/>
        </w:rPr>
        <w:t xml:space="preserve"> how metrics for 6GR</w:t>
      </w:r>
      <w:r>
        <w:rPr>
          <w:rFonts w:hint="eastAsia" w:ascii="Times New Roman Bold Italic" w:hAnsi="Times New Roman Bold Italic" w:cs="Times New Roman Bold Italic"/>
          <w:b/>
          <w:bCs/>
          <w:i/>
          <w:iCs/>
          <w:sz w:val="22"/>
          <w:szCs w:val="22"/>
          <w:lang w:val="en-US" w:eastAsia="zh-CN"/>
        </w:rPr>
        <w:t xml:space="preserve"> power</w:t>
      </w:r>
      <w:r>
        <w:rPr>
          <w:rFonts w:hint="default" w:ascii="Times New Roman Bold Italic" w:hAnsi="Times New Roman Bold Italic" w:cs="Times New Roman Bold Italic"/>
          <w:b/>
          <w:bCs/>
          <w:i/>
          <w:iCs/>
          <w:sz w:val="22"/>
          <w:szCs w:val="22"/>
          <w:lang w:val="en-US" w:eastAsia="zh-CN"/>
        </w:rPr>
        <w:t xml:space="preserve"> consumption impacts on cell level or UE level related 6GR energy efficiency technologies, e.g., DTX/DRX configuration or PDCCH monitoring, etc.</w:t>
      </w:r>
    </w:p>
    <w:p w14:paraId="058110CD">
      <w:pPr>
        <w:pBdr>
          <w:bottom w:val="single" w:color="auto" w:sz="4" w:space="1"/>
        </w:pBdr>
        <w:spacing w:after="0"/>
        <w:jc w:val="left"/>
        <w:rPr>
          <w:b/>
          <w:kern w:val="2"/>
          <w:sz w:val="16"/>
          <w:szCs w:val="16"/>
          <w:lang w:eastAsia="zh-CN"/>
        </w:rPr>
      </w:pPr>
    </w:p>
    <w:p w14:paraId="041B2746">
      <w:pPr>
        <w:pStyle w:val="2"/>
        <w:rPr>
          <w:lang w:eastAsia="zh-CN"/>
        </w:rPr>
      </w:pPr>
      <w:r>
        <w:rPr>
          <w:rFonts w:hint="eastAsia"/>
          <w:lang w:eastAsia="zh-CN"/>
        </w:rPr>
        <w:t xml:space="preserve"> </w:t>
      </w:r>
      <w:r>
        <w:rPr>
          <w:lang w:eastAsia="zh-CN"/>
        </w:rPr>
        <w:t>6G</w:t>
      </w:r>
      <w:r>
        <w:rPr>
          <w:rFonts w:hint="eastAsia"/>
          <w:lang w:eastAsia="zh-CN"/>
        </w:rPr>
        <w:t>R</w:t>
      </w:r>
      <w:r>
        <w:rPr>
          <w:lang w:eastAsia="zh-CN"/>
        </w:rPr>
        <w:t xml:space="preserve"> energy efficiency considerations</w:t>
      </w:r>
    </w:p>
    <w:p w14:paraId="63D23841">
      <w:pPr>
        <w:rPr>
          <w:lang w:eastAsia="ja-JP"/>
        </w:rPr>
      </w:pPr>
      <w:r>
        <w:rPr>
          <w:lang w:eastAsia="zh-CN"/>
        </w:rPr>
        <w:t>In last meeting, t</w:t>
      </w:r>
      <w:r>
        <w:rPr>
          <w:lang w:eastAsia="ja-JP"/>
        </w:rPr>
        <w:t xml:space="preserve">he following are example categories and features given by [3] for 6GR energy efficiency study. </w:t>
      </w:r>
    </w:p>
    <w:tbl>
      <w:tblPr>
        <w:tblStyle w:val="27"/>
        <w:tblW w:w="9210" w:type="dxa"/>
        <w:tblInd w:w="134" w:type="dxa"/>
        <w:tblLayout w:type="fixed"/>
        <w:tblCellMar>
          <w:top w:w="0" w:type="dxa"/>
          <w:left w:w="108" w:type="dxa"/>
          <w:bottom w:w="0" w:type="dxa"/>
          <w:right w:w="108" w:type="dxa"/>
        </w:tblCellMar>
      </w:tblPr>
      <w:tblGrid>
        <w:gridCol w:w="4257"/>
        <w:gridCol w:w="4953"/>
      </w:tblGrid>
      <w:tr w14:paraId="799DD9FA">
        <w:tc>
          <w:tcPr>
            <w:tcW w:w="4257" w:type="dxa"/>
            <w:tcBorders>
              <w:top w:val="single" w:color="000000" w:sz="4" w:space="0"/>
              <w:left w:val="single" w:color="000000" w:sz="4" w:space="0"/>
              <w:bottom w:val="single" w:color="000000" w:sz="4" w:space="0"/>
              <w:right w:val="single" w:color="000000" w:sz="4" w:space="0"/>
            </w:tcBorders>
            <w:shd w:val="clear" w:color="auto" w:fill="E8E8E8"/>
          </w:tcPr>
          <w:p w14:paraId="56B09D71">
            <w:pPr>
              <w:rPr>
                <w:rFonts w:eastAsiaTheme="minorEastAsia"/>
                <w:lang w:eastAsia="zh-TW"/>
              </w:rPr>
            </w:pPr>
            <w:r>
              <w:rPr>
                <w:rFonts w:eastAsiaTheme="minorEastAsia"/>
                <w:b/>
                <w:bCs/>
                <w:lang w:eastAsia="zh-TW"/>
              </w:rPr>
              <w:t>Example</w:t>
            </w:r>
            <w:r>
              <w:rPr>
                <w:rFonts w:eastAsiaTheme="minorEastAsia"/>
                <w:lang w:eastAsia="zh-TW"/>
              </w:rPr>
              <w:t xml:space="preserve"> categories</w:t>
            </w:r>
          </w:p>
        </w:tc>
        <w:tc>
          <w:tcPr>
            <w:tcW w:w="4953" w:type="dxa"/>
            <w:tcBorders>
              <w:top w:val="single" w:color="000000" w:sz="4" w:space="0"/>
              <w:left w:val="single" w:color="000000" w:sz="4" w:space="0"/>
              <w:bottom w:val="single" w:color="000000" w:sz="4" w:space="0"/>
              <w:right w:val="single" w:color="000000" w:sz="4" w:space="0"/>
            </w:tcBorders>
            <w:shd w:val="clear" w:color="auto" w:fill="E8E8E8"/>
          </w:tcPr>
          <w:p w14:paraId="5094DAE1">
            <w:pPr>
              <w:rPr>
                <w:rFonts w:eastAsiaTheme="minorEastAsia"/>
                <w:lang w:eastAsia="zh-TW"/>
              </w:rPr>
            </w:pPr>
            <w:r>
              <w:rPr>
                <w:rFonts w:eastAsiaTheme="minorEastAsia"/>
                <w:b/>
                <w:bCs/>
                <w:lang w:eastAsia="zh-TW"/>
              </w:rPr>
              <w:t>Example</w:t>
            </w:r>
            <w:r>
              <w:rPr>
                <w:rFonts w:eastAsiaTheme="minorEastAsia"/>
                <w:lang w:eastAsia="zh-TW"/>
              </w:rPr>
              <w:t xml:space="preserve"> features</w:t>
            </w:r>
          </w:p>
        </w:tc>
      </w:tr>
      <w:tr w14:paraId="742E39FC">
        <w:tc>
          <w:tcPr>
            <w:tcW w:w="4257" w:type="dxa"/>
            <w:tcBorders>
              <w:top w:val="single" w:color="000000" w:sz="4" w:space="0"/>
              <w:left w:val="single" w:color="000000" w:sz="4" w:space="0"/>
              <w:bottom w:val="single" w:color="000000" w:sz="4" w:space="0"/>
              <w:right w:val="single" w:color="000000" w:sz="4" w:space="0"/>
            </w:tcBorders>
          </w:tcPr>
          <w:p w14:paraId="37C04FC5">
            <w:pPr>
              <w:rPr>
                <w:rFonts w:eastAsiaTheme="minorEastAsia"/>
                <w:lang w:eastAsia="zh-TW"/>
              </w:rPr>
            </w:pPr>
            <w:r>
              <w:rPr>
                <w:rFonts w:eastAsiaTheme="minorEastAsia"/>
                <w:lang w:eastAsia="zh-TW"/>
              </w:rPr>
              <w:t>SSB, SIB1</w:t>
            </w:r>
          </w:p>
        </w:tc>
        <w:tc>
          <w:tcPr>
            <w:tcW w:w="4953" w:type="dxa"/>
            <w:tcBorders>
              <w:top w:val="single" w:color="000000" w:sz="4" w:space="0"/>
              <w:left w:val="single" w:color="000000" w:sz="4" w:space="0"/>
              <w:bottom w:val="single" w:color="000000" w:sz="4" w:space="0"/>
              <w:right w:val="single" w:color="000000" w:sz="4" w:space="0"/>
            </w:tcBorders>
          </w:tcPr>
          <w:p w14:paraId="67C10D75">
            <w:pPr>
              <w:rPr>
                <w:rFonts w:eastAsiaTheme="minorEastAsia"/>
                <w:lang w:eastAsia="zh-TW"/>
              </w:rPr>
            </w:pPr>
            <w:r>
              <w:rPr>
                <w:rFonts w:eastAsiaTheme="minorEastAsia"/>
                <w:lang w:eastAsia="zh-TW"/>
              </w:rPr>
              <w:t>Periodicity adaptation, on-demand operation including UL-WUS trigger, low-power transmission</w:t>
            </w:r>
          </w:p>
        </w:tc>
      </w:tr>
      <w:tr w14:paraId="0EE78720">
        <w:tc>
          <w:tcPr>
            <w:tcW w:w="4257" w:type="dxa"/>
            <w:tcBorders>
              <w:top w:val="single" w:color="000000" w:sz="4" w:space="0"/>
              <w:left w:val="single" w:color="000000" w:sz="4" w:space="0"/>
              <w:bottom w:val="single" w:color="000000" w:sz="4" w:space="0"/>
              <w:right w:val="single" w:color="000000" w:sz="4" w:space="0"/>
            </w:tcBorders>
          </w:tcPr>
          <w:p w14:paraId="2C737BBF">
            <w:pPr>
              <w:rPr>
                <w:rFonts w:eastAsiaTheme="minorEastAsia"/>
                <w:lang w:eastAsia="zh-TW"/>
              </w:rPr>
            </w:pPr>
            <w:r>
              <w:rPr>
                <w:rFonts w:eastAsiaTheme="minorEastAsia"/>
                <w:lang w:eastAsia="zh-TW"/>
              </w:rPr>
              <w:t>RO/RACH and PO/Paging</w:t>
            </w:r>
          </w:p>
        </w:tc>
        <w:tc>
          <w:tcPr>
            <w:tcW w:w="4953" w:type="dxa"/>
            <w:tcBorders>
              <w:top w:val="single" w:color="000000" w:sz="4" w:space="0"/>
              <w:left w:val="single" w:color="000000" w:sz="4" w:space="0"/>
              <w:bottom w:val="single" w:color="000000" w:sz="4" w:space="0"/>
              <w:right w:val="single" w:color="000000" w:sz="4" w:space="0"/>
            </w:tcBorders>
          </w:tcPr>
          <w:p w14:paraId="655F2A52">
            <w:pPr>
              <w:rPr>
                <w:rFonts w:eastAsiaTheme="minorEastAsia"/>
                <w:lang w:eastAsia="zh-TW"/>
              </w:rPr>
            </w:pPr>
            <w:r>
              <w:rPr>
                <w:rFonts w:eastAsiaTheme="minorEastAsia"/>
                <w:lang w:eastAsia="zh-TW"/>
              </w:rPr>
              <w:t>RO and PO adaptation, preamble with large pool size, paging with fast UE identification</w:t>
            </w:r>
          </w:p>
        </w:tc>
      </w:tr>
      <w:tr w14:paraId="7A0B0A61">
        <w:tc>
          <w:tcPr>
            <w:tcW w:w="4257" w:type="dxa"/>
            <w:tcBorders>
              <w:top w:val="single" w:color="000000" w:sz="4" w:space="0"/>
              <w:left w:val="single" w:color="000000" w:sz="4" w:space="0"/>
              <w:bottom w:val="single" w:color="000000" w:sz="4" w:space="0"/>
              <w:right w:val="single" w:color="000000" w:sz="4" w:space="0"/>
            </w:tcBorders>
          </w:tcPr>
          <w:p w14:paraId="6337895A">
            <w:pPr>
              <w:rPr>
                <w:rFonts w:eastAsiaTheme="minorEastAsia"/>
                <w:lang w:eastAsia="zh-TW"/>
              </w:rPr>
            </w:pPr>
            <w:r>
              <w:rPr>
                <w:rFonts w:eastAsiaTheme="minorEastAsia"/>
                <w:lang w:eastAsia="zh-TW"/>
              </w:rPr>
              <w:t>TRP on/off</w:t>
            </w:r>
          </w:p>
        </w:tc>
        <w:tc>
          <w:tcPr>
            <w:tcW w:w="4953" w:type="dxa"/>
            <w:tcBorders>
              <w:top w:val="single" w:color="000000" w:sz="4" w:space="0"/>
              <w:left w:val="single" w:color="000000" w:sz="4" w:space="0"/>
              <w:bottom w:val="single" w:color="000000" w:sz="4" w:space="0"/>
              <w:right w:val="single" w:color="000000" w:sz="4" w:space="0"/>
            </w:tcBorders>
          </w:tcPr>
          <w:p w14:paraId="649D1A69">
            <w:pPr>
              <w:rPr>
                <w:rFonts w:eastAsiaTheme="minorEastAsia"/>
                <w:lang w:eastAsia="zh-TW"/>
              </w:rPr>
            </w:pPr>
            <w:r>
              <w:rPr>
                <w:rFonts w:eastAsiaTheme="minorEastAsia"/>
                <w:lang w:eastAsia="zh-TW"/>
              </w:rPr>
              <w:t>Dynamic adaptation/On-off,</w:t>
            </w:r>
          </w:p>
        </w:tc>
      </w:tr>
      <w:tr w14:paraId="24E509C1">
        <w:tc>
          <w:tcPr>
            <w:tcW w:w="9210" w:type="dxa"/>
            <w:gridSpan w:val="2"/>
            <w:tcBorders>
              <w:top w:val="single" w:color="000000" w:sz="4" w:space="0"/>
              <w:left w:val="single" w:color="000000" w:sz="4" w:space="0"/>
              <w:bottom w:val="single" w:color="000000" w:sz="4" w:space="0"/>
              <w:right w:val="single" w:color="000000" w:sz="4" w:space="0"/>
            </w:tcBorders>
          </w:tcPr>
          <w:p w14:paraId="77341A62">
            <w:pPr>
              <w:rPr>
                <w:rFonts w:eastAsiaTheme="minorEastAsia"/>
                <w:lang w:eastAsia="zh-TW"/>
              </w:rPr>
            </w:pPr>
          </w:p>
        </w:tc>
      </w:tr>
      <w:tr w14:paraId="4FB61752">
        <w:trPr>
          <w:trHeight w:val="286" w:hRule="atLeast"/>
        </w:trPr>
        <w:tc>
          <w:tcPr>
            <w:tcW w:w="4257" w:type="dxa"/>
            <w:tcBorders>
              <w:top w:val="single" w:color="000000" w:sz="4" w:space="0"/>
              <w:left w:val="single" w:color="000000" w:sz="4" w:space="0"/>
              <w:bottom w:val="single" w:color="000000" w:sz="4" w:space="0"/>
              <w:right w:val="single" w:color="000000" w:sz="4" w:space="0"/>
            </w:tcBorders>
          </w:tcPr>
          <w:p w14:paraId="01B3F72D">
            <w:pPr>
              <w:rPr>
                <w:rFonts w:eastAsiaTheme="minorEastAsia"/>
                <w:lang w:eastAsia="zh-TW"/>
              </w:rPr>
            </w:pPr>
            <w:r>
              <w:rPr>
                <w:rFonts w:eastAsiaTheme="minorEastAsia"/>
                <w:lang w:eastAsia="zh-TW"/>
              </w:rPr>
              <w:t xml:space="preserve">Multi-carrier/CA </w:t>
            </w:r>
          </w:p>
        </w:tc>
        <w:tc>
          <w:tcPr>
            <w:tcW w:w="4953" w:type="dxa"/>
            <w:tcBorders>
              <w:top w:val="single" w:color="000000" w:sz="4" w:space="0"/>
              <w:left w:val="single" w:color="000000" w:sz="4" w:space="0"/>
              <w:bottom w:val="single" w:color="000000" w:sz="4" w:space="0"/>
              <w:right w:val="single" w:color="000000" w:sz="4" w:space="0"/>
            </w:tcBorders>
          </w:tcPr>
          <w:p w14:paraId="701E2674">
            <w:pPr>
              <w:rPr>
                <w:rFonts w:eastAsiaTheme="minorEastAsia"/>
                <w:lang w:eastAsia="zh-TW"/>
              </w:rPr>
            </w:pPr>
            <w:r>
              <w:rPr>
                <w:rFonts w:eastAsiaTheme="minorEastAsia"/>
                <w:lang w:eastAsia="zh-TW"/>
              </w:rPr>
              <w:t>SCell dormancy, fast SCell (de)activation, SSB-less SCell, UL-only/DL-only cell activation, overall procedure of multi-carrier operation</w:t>
            </w:r>
          </w:p>
        </w:tc>
      </w:tr>
      <w:tr w14:paraId="23E94608">
        <w:tc>
          <w:tcPr>
            <w:tcW w:w="4257" w:type="dxa"/>
            <w:tcBorders>
              <w:top w:val="single" w:color="000000" w:sz="4" w:space="0"/>
              <w:left w:val="single" w:color="000000" w:sz="4" w:space="0"/>
              <w:bottom w:val="single" w:color="000000" w:sz="4" w:space="0"/>
              <w:right w:val="single" w:color="000000" w:sz="4" w:space="0"/>
            </w:tcBorders>
          </w:tcPr>
          <w:p w14:paraId="17A973D7">
            <w:pPr>
              <w:rPr>
                <w:rFonts w:eastAsiaTheme="minorEastAsia"/>
                <w:lang w:eastAsia="zh-TW"/>
              </w:rPr>
            </w:pPr>
            <w:r>
              <w:rPr>
                <w:rFonts w:eastAsiaTheme="minorEastAsia"/>
                <w:lang w:eastAsia="zh-TW"/>
              </w:rPr>
              <w:t>Cell DTX/DRX</w:t>
            </w:r>
          </w:p>
        </w:tc>
        <w:tc>
          <w:tcPr>
            <w:tcW w:w="4953" w:type="dxa"/>
            <w:tcBorders>
              <w:top w:val="single" w:color="000000" w:sz="4" w:space="0"/>
              <w:left w:val="single" w:color="000000" w:sz="4" w:space="0"/>
              <w:bottom w:val="single" w:color="000000" w:sz="4" w:space="0"/>
              <w:right w:val="single" w:color="000000" w:sz="4" w:space="0"/>
            </w:tcBorders>
          </w:tcPr>
          <w:p w14:paraId="5ACDCAC8">
            <w:pPr>
              <w:rPr>
                <w:rFonts w:eastAsiaTheme="minorEastAsia"/>
                <w:lang w:eastAsia="zh-TW"/>
              </w:rPr>
            </w:pPr>
            <w:r>
              <w:rPr>
                <w:rFonts w:eastAsiaTheme="minorEastAsia"/>
                <w:lang w:eastAsia="zh-TW"/>
              </w:rPr>
              <w:t>On/off, adaptation, Joint op w/ UE cDRX</w:t>
            </w:r>
          </w:p>
        </w:tc>
      </w:tr>
      <w:tr w14:paraId="772CC986">
        <w:tc>
          <w:tcPr>
            <w:tcW w:w="9210" w:type="dxa"/>
            <w:gridSpan w:val="2"/>
            <w:tcBorders>
              <w:top w:val="single" w:color="000000" w:sz="4" w:space="0"/>
              <w:left w:val="single" w:color="000000" w:sz="4" w:space="0"/>
              <w:bottom w:val="single" w:color="000000" w:sz="4" w:space="0"/>
              <w:right w:val="single" w:color="000000" w:sz="4" w:space="0"/>
            </w:tcBorders>
          </w:tcPr>
          <w:p w14:paraId="25CE5201">
            <w:pPr>
              <w:rPr>
                <w:rFonts w:eastAsiaTheme="minorEastAsia"/>
                <w:lang w:eastAsia="zh-TW"/>
              </w:rPr>
            </w:pPr>
          </w:p>
        </w:tc>
      </w:tr>
      <w:tr w14:paraId="2335DCAA">
        <w:tc>
          <w:tcPr>
            <w:tcW w:w="4257" w:type="dxa"/>
            <w:tcBorders>
              <w:top w:val="single" w:color="000000" w:sz="4" w:space="0"/>
              <w:left w:val="single" w:color="000000" w:sz="4" w:space="0"/>
              <w:bottom w:val="single" w:color="000000" w:sz="4" w:space="0"/>
              <w:right w:val="single" w:color="000000" w:sz="4" w:space="0"/>
            </w:tcBorders>
          </w:tcPr>
          <w:p w14:paraId="0C3C1FBB">
            <w:pPr>
              <w:rPr>
                <w:rFonts w:eastAsiaTheme="minorEastAsia"/>
                <w:lang w:eastAsia="zh-TW"/>
              </w:rPr>
            </w:pPr>
            <w:r>
              <w:rPr>
                <w:rFonts w:eastAsiaTheme="minorEastAsia"/>
                <w:lang w:eastAsia="zh-TW"/>
              </w:rPr>
              <w:t>BS Power models &amp; evaluation metric</w:t>
            </w:r>
          </w:p>
        </w:tc>
        <w:tc>
          <w:tcPr>
            <w:tcW w:w="4953" w:type="dxa"/>
            <w:tcBorders>
              <w:top w:val="single" w:color="000000" w:sz="4" w:space="0"/>
              <w:left w:val="single" w:color="000000" w:sz="4" w:space="0"/>
              <w:bottom w:val="single" w:color="000000" w:sz="4" w:space="0"/>
              <w:right w:val="single" w:color="000000" w:sz="4" w:space="0"/>
            </w:tcBorders>
          </w:tcPr>
          <w:p w14:paraId="7999FAC2">
            <w:pPr>
              <w:rPr>
                <w:rFonts w:eastAsiaTheme="minorEastAsia"/>
                <w:lang w:eastAsia="zh-TW"/>
              </w:rPr>
            </w:pPr>
            <w:r>
              <w:rPr>
                <w:rFonts w:eastAsiaTheme="minorEastAsia"/>
                <w:lang w:eastAsia="zh-TW"/>
              </w:rPr>
              <w:t>QoS</w:t>
            </w:r>
          </w:p>
        </w:tc>
      </w:tr>
      <w:tr w14:paraId="1A6A1231">
        <w:trPr>
          <w:trHeight w:val="291" w:hRule="atLeast"/>
        </w:trPr>
        <w:tc>
          <w:tcPr>
            <w:tcW w:w="9210" w:type="dxa"/>
            <w:gridSpan w:val="2"/>
            <w:tcBorders>
              <w:top w:val="single" w:color="000000" w:sz="4" w:space="0"/>
              <w:left w:val="single" w:color="000000" w:sz="4" w:space="0"/>
              <w:bottom w:val="single" w:color="000000" w:sz="4" w:space="0"/>
              <w:right w:val="single" w:color="000000" w:sz="4" w:space="0"/>
            </w:tcBorders>
          </w:tcPr>
          <w:p w14:paraId="7B5F8479">
            <w:pPr>
              <w:rPr>
                <w:rFonts w:eastAsiaTheme="minorEastAsia"/>
                <w:lang w:eastAsia="zh-TW"/>
              </w:rPr>
            </w:pPr>
          </w:p>
        </w:tc>
      </w:tr>
      <w:tr w14:paraId="224223E6">
        <w:trPr>
          <w:trHeight w:val="90" w:hRule="atLeast"/>
        </w:trPr>
        <w:tc>
          <w:tcPr>
            <w:tcW w:w="4257" w:type="dxa"/>
            <w:tcBorders>
              <w:top w:val="single" w:color="000000" w:sz="4" w:space="0"/>
              <w:left w:val="single" w:color="000000" w:sz="4" w:space="0"/>
              <w:bottom w:val="single" w:color="000000" w:sz="4" w:space="0"/>
              <w:right w:val="single" w:color="000000" w:sz="4" w:space="0"/>
            </w:tcBorders>
            <w:shd w:val="clear" w:color="auto" w:fill="EEECE1" w:themeFill="background2"/>
          </w:tcPr>
          <w:p w14:paraId="724E8325">
            <w:pPr>
              <w:rPr>
                <w:rFonts w:eastAsiaTheme="minorEastAsia"/>
                <w:lang w:eastAsia="zh-TW"/>
              </w:rPr>
            </w:pPr>
            <w:r>
              <w:rPr>
                <w:rFonts w:eastAsiaTheme="minorEastAsia"/>
                <w:b/>
                <w:bCs/>
                <w:lang w:val="de-DE" w:eastAsia="zh-TW"/>
              </w:rPr>
              <w:t>Example</w:t>
            </w:r>
            <w:r>
              <w:rPr>
                <w:rFonts w:eastAsiaTheme="minorEastAsia"/>
                <w:lang w:val="de-DE" w:eastAsia="zh-TW"/>
              </w:rPr>
              <w:t xml:space="preserve"> categories</w:t>
            </w:r>
          </w:p>
        </w:tc>
        <w:tc>
          <w:tcPr>
            <w:tcW w:w="4953" w:type="dxa"/>
            <w:tcBorders>
              <w:top w:val="single" w:color="000000" w:sz="4" w:space="0"/>
              <w:left w:val="single" w:color="000000" w:sz="4" w:space="0"/>
              <w:bottom w:val="single" w:color="000000" w:sz="4" w:space="0"/>
              <w:right w:val="single" w:color="000000" w:sz="4" w:space="0"/>
            </w:tcBorders>
            <w:shd w:val="clear" w:color="auto" w:fill="EEECE1" w:themeFill="background2"/>
          </w:tcPr>
          <w:p w14:paraId="490A112F">
            <w:pPr>
              <w:rPr>
                <w:rFonts w:eastAsiaTheme="minorEastAsia"/>
                <w:lang w:eastAsia="zh-TW"/>
              </w:rPr>
            </w:pPr>
            <w:r>
              <w:rPr>
                <w:rFonts w:eastAsiaTheme="minorEastAsia"/>
                <w:b/>
                <w:bCs/>
                <w:lang w:val="de-DE" w:eastAsia="zh-TW"/>
              </w:rPr>
              <w:t>Example</w:t>
            </w:r>
            <w:r>
              <w:rPr>
                <w:rFonts w:eastAsiaTheme="minorEastAsia"/>
                <w:lang w:val="de-DE" w:eastAsia="zh-TW"/>
              </w:rPr>
              <w:t xml:space="preserve"> features</w:t>
            </w:r>
          </w:p>
        </w:tc>
      </w:tr>
      <w:tr w14:paraId="7651D6C4">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34605AE9">
            <w:pPr>
              <w:rPr>
                <w:rFonts w:eastAsiaTheme="minorEastAsia"/>
                <w:lang w:eastAsia="zh-TW"/>
              </w:rPr>
            </w:pPr>
            <w:r>
              <w:rPr>
                <w:rFonts w:eastAsiaTheme="minorEastAsia"/>
                <w:lang w:eastAsia="zh-TW"/>
              </w:rPr>
              <w:t>PDCCH monitoring and adaptation</w:t>
            </w:r>
          </w:p>
        </w:tc>
        <w:tc>
          <w:tcPr>
            <w:tcW w:w="4953" w:type="dxa"/>
            <w:tcBorders>
              <w:top w:val="single" w:color="000000" w:sz="4" w:space="0"/>
              <w:left w:val="single" w:color="000000" w:sz="4" w:space="0"/>
              <w:bottom w:val="single" w:color="000000" w:sz="4" w:space="0"/>
              <w:right w:val="single" w:color="000000" w:sz="4" w:space="0"/>
            </w:tcBorders>
          </w:tcPr>
          <w:p w14:paraId="6F8C597C">
            <w:pPr>
              <w:rPr>
                <w:rFonts w:eastAsiaTheme="minorEastAsia"/>
                <w:lang w:eastAsia="zh-TW"/>
              </w:rPr>
            </w:pPr>
            <w:r>
              <w:rPr>
                <w:rFonts w:eastAsiaTheme="minorEastAsia"/>
                <w:lang w:eastAsia="zh-TW"/>
              </w:rPr>
              <w:t xml:space="preserve">cDRX, SSSG switching, PDCCH skipping, decoupling RF/BB PDSCH/PDCCH power states, PDCCH monitoring for multi-CC, restricting maximum coreset size, restricting minimum SS period </w:t>
            </w:r>
          </w:p>
        </w:tc>
      </w:tr>
      <w:tr w14:paraId="4C50A3E4">
        <w:trPr>
          <w:trHeight w:val="286" w:hRule="atLeast"/>
        </w:trPr>
        <w:tc>
          <w:tcPr>
            <w:tcW w:w="4257" w:type="dxa"/>
            <w:tcBorders>
              <w:top w:val="single" w:color="000000" w:sz="4" w:space="0"/>
              <w:left w:val="single" w:color="000000" w:sz="4" w:space="0"/>
              <w:bottom w:val="single" w:color="000000" w:sz="4" w:space="0"/>
              <w:right w:val="single" w:color="000000" w:sz="4" w:space="0"/>
            </w:tcBorders>
          </w:tcPr>
          <w:p w14:paraId="3CA90C9F">
            <w:pPr>
              <w:rPr>
                <w:rFonts w:eastAsiaTheme="minorEastAsia"/>
                <w:lang w:eastAsia="zh-TW"/>
              </w:rPr>
            </w:pPr>
            <w:r>
              <w:rPr>
                <w:rFonts w:eastAsiaTheme="minorEastAsia"/>
                <w:lang w:eastAsia="zh-TW"/>
              </w:rPr>
              <w:t>Wake-up mechanism</w:t>
            </w:r>
          </w:p>
        </w:tc>
        <w:tc>
          <w:tcPr>
            <w:tcW w:w="4953" w:type="dxa"/>
            <w:tcBorders>
              <w:top w:val="single" w:color="000000" w:sz="4" w:space="0"/>
              <w:left w:val="single" w:color="000000" w:sz="4" w:space="0"/>
              <w:bottom w:val="single" w:color="000000" w:sz="4" w:space="0"/>
              <w:right w:val="single" w:color="000000" w:sz="4" w:space="0"/>
            </w:tcBorders>
          </w:tcPr>
          <w:p w14:paraId="3C560D7F">
            <w:pPr>
              <w:rPr>
                <w:rFonts w:eastAsiaTheme="minorEastAsia"/>
                <w:lang w:eastAsia="zh-TW"/>
              </w:rPr>
            </w:pPr>
            <w:r>
              <w:rPr>
                <w:rFonts w:eastAsiaTheme="minorEastAsia"/>
                <w:lang w:eastAsia="zh-TW"/>
              </w:rPr>
              <w:t>DCP, PEI, LP-WUS</w:t>
            </w:r>
          </w:p>
        </w:tc>
      </w:tr>
      <w:tr w14:paraId="495ADA9D">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4CAC4B1A">
            <w:pPr>
              <w:rPr>
                <w:rFonts w:eastAsiaTheme="minorEastAsia"/>
                <w:lang w:eastAsia="zh-TW"/>
              </w:rPr>
            </w:pPr>
            <w:r>
              <w:rPr>
                <w:rFonts w:eastAsiaTheme="minorEastAsia"/>
                <w:lang w:eastAsia="zh-TW"/>
              </w:rPr>
              <w:t>Scheduling and data transmission</w:t>
            </w:r>
          </w:p>
        </w:tc>
        <w:tc>
          <w:tcPr>
            <w:tcW w:w="4953" w:type="dxa"/>
            <w:tcBorders>
              <w:top w:val="single" w:color="000000" w:sz="4" w:space="0"/>
              <w:left w:val="single" w:color="000000" w:sz="4" w:space="0"/>
              <w:bottom w:val="single" w:color="000000" w:sz="4" w:space="0"/>
              <w:right w:val="single" w:color="000000" w:sz="4" w:space="0"/>
            </w:tcBorders>
          </w:tcPr>
          <w:p w14:paraId="08CA0628">
            <w:pPr>
              <w:rPr>
                <w:rFonts w:eastAsiaTheme="minorEastAsia"/>
                <w:lang w:eastAsia="zh-TW"/>
              </w:rPr>
            </w:pPr>
            <w:r>
              <w:rPr>
                <w:rFonts w:eastAsiaTheme="minorEastAsia"/>
                <w:lang w:eastAsia="zh-TW"/>
              </w:rPr>
              <w:t>Cross-slot, UE UL DTX, UL skipping, sub-CC configuration, aggregated/efficient data transmission, wideband transmission with low PAPR, decoupling RF/BB power states, no late changes to UL, Autonomous PUSCH transmission, cDRX</w:t>
            </w:r>
          </w:p>
        </w:tc>
      </w:tr>
      <w:tr w14:paraId="10249D0B">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3D8187B6">
            <w:pPr>
              <w:rPr>
                <w:rFonts w:eastAsiaTheme="minorEastAsia"/>
                <w:lang w:eastAsia="zh-TW"/>
              </w:rPr>
            </w:pPr>
            <w:r>
              <w:rPr>
                <w:rFonts w:eastAsiaTheme="minorEastAsia"/>
                <w:lang w:eastAsia="zh-TW"/>
              </w:rPr>
              <w:t>RRM/RLM/BFD</w:t>
            </w:r>
          </w:p>
        </w:tc>
        <w:tc>
          <w:tcPr>
            <w:tcW w:w="4953" w:type="dxa"/>
            <w:tcBorders>
              <w:top w:val="single" w:color="000000" w:sz="4" w:space="0"/>
              <w:left w:val="single" w:color="000000" w:sz="4" w:space="0"/>
              <w:bottom w:val="single" w:color="000000" w:sz="4" w:space="0"/>
              <w:right w:val="single" w:color="000000" w:sz="4" w:space="0"/>
            </w:tcBorders>
          </w:tcPr>
          <w:p w14:paraId="2D402051">
            <w:pPr>
              <w:rPr>
                <w:rFonts w:eastAsiaTheme="minorEastAsia"/>
                <w:lang w:eastAsia="zh-TW"/>
              </w:rPr>
            </w:pPr>
            <w:r>
              <w:rPr>
                <w:rFonts w:eastAsiaTheme="minorEastAsia"/>
                <w:lang w:eastAsia="zh-TW"/>
              </w:rPr>
              <w:t>RRM Relaxation, RLM/BFD Relaxation</w:t>
            </w:r>
          </w:p>
        </w:tc>
      </w:tr>
      <w:tr w14:paraId="06E87D53">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67A96BC3">
            <w:pPr>
              <w:rPr>
                <w:rFonts w:eastAsiaTheme="minorEastAsia"/>
                <w:lang w:eastAsia="zh-TW"/>
              </w:rPr>
            </w:pPr>
            <w:r>
              <w:rPr>
                <w:rFonts w:eastAsiaTheme="minorEastAsia"/>
                <w:lang w:eastAsia="zh-TW"/>
              </w:rPr>
              <w:t>UAI</w:t>
            </w:r>
          </w:p>
        </w:tc>
        <w:tc>
          <w:tcPr>
            <w:tcW w:w="4953" w:type="dxa"/>
            <w:tcBorders>
              <w:top w:val="single" w:color="000000" w:sz="4" w:space="0"/>
              <w:left w:val="single" w:color="000000" w:sz="4" w:space="0"/>
              <w:bottom w:val="single" w:color="000000" w:sz="4" w:space="0"/>
              <w:right w:val="single" w:color="000000" w:sz="4" w:space="0"/>
            </w:tcBorders>
          </w:tcPr>
          <w:p w14:paraId="6997FD97">
            <w:pPr>
              <w:rPr>
                <w:rFonts w:eastAsiaTheme="minorEastAsia"/>
                <w:lang w:eastAsia="zh-TW"/>
              </w:rPr>
            </w:pPr>
            <w:r>
              <w:rPr>
                <w:rFonts w:eastAsiaTheme="minorEastAsia"/>
                <w:lang w:eastAsia="zh-TW"/>
              </w:rPr>
              <w:t>DRX setting, MIMO layer #, #CC, Overheat</w:t>
            </w:r>
          </w:p>
        </w:tc>
      </w:tr>
      <w:tr w14:paraId="7243636C">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201C891C">
            <w:pPr>
              <w:rPr>
                <w:rFonts w:eastAsiaTheme="minorEastAsia"/>
                <w:lang w:eastAsia="zh-TW"/>
              </w:rPr>
            </w:pPr>
            <w:r>
              <w:rPr>
                <w:rFonts w:eastAsiaTheme="minorEastAsia"/>
                <w:lang w:eastAsia="zh-TW"/>
              </w:rPr>
              <w:t>Idle/inactive optimization</w:t>
            </w:r>
          </w:p>
        </w:tc>
        <w:tc>
          <w:tcPr>
            <w:tcW w:w="4953" w:type="dxa"/>
            <w:tcBorders>
              <w:top w:val="single" w:color="000000" w:sz="4" w:space="0"/>
              <w:left w:val="single" w:color="000000" w:sz="4" w:space="0"/>
              <w:bottom w:val="single" w:color="000000" w:sz="4" w:space="0"/>
              <w:right w:val="single" w:color="000000" w:sz="4" w:space="0"/>
            </w:tcBorders>
          </w:tcPr>
          <w:p w14:paraId="01C4B43E">
            <w:pPr>
              <w:rPr>
                <w:rFonts w:eastAsiaTheme="minorEastAsia"/>
                <w:lang w:eastAsia="zh-TW"/>
              </w:rPr>
            </w:pPr>
            <w:r>
              <w:rPr>
                <w:rFonts w:eastAsiaTheme="minorEastAsia"/>
                <w:lang w:eastAsia="zh-TW"/>
              </w:rPr>
              <w:t>idle TRS, inactive SDT</w:t>
            </w:r>
          </w:p>
        </w:tc>
      </w:tr>
      <w:tr w14:paraId="3E2A91C0">
        <w:trPr>
          <w:trHeight w:val="291" w:hRule="atLeast"/>
        </w:trPr>
        <w:tc>
          <w:tcPr>
            <w:tcW w:w="9210" w:type="dxa"/>
            <w:gridSpan w:val="2"/>
            <w:tcBorders>
              <w:top w:val="single" w:color="000000" w:sz="4" w:space="0"/>
              <w:left w:val="single" w:color="000000" w:sz="4" w:space="0"/>
              <w:bottom w:val="single" w:color="000000" w:sz="4" w:space="0"/>
              <w:right w:val="single" w:color="000000" w:sz="4" w:space="0"/>
            </w:tcBorders>
          </w:tcPr>
          <w:p w14:paraId="195071CD">
            <w:pPr>
              <w:rPr>
                <w:rFonts w:eastAsiaTheme="minorEastAsia"/>
                <w:lang w:eastAsia="zh-TW"/>
              </w:rPr>
            </w:pPr>
          </w:p>
        </w:tc>
      </w:tr>
      <w:tr w14:paraId="13742378">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02264925">
            <w:pPr>
              <w:rPr>
                <w:rFonts w:eastAsiaTheme="minorEastAsia"/>
                <w:lang w:eastAsia="zh-TW"/>
              </w:rPr>
            </w:pPr>
            <w:r>
              <w:rPr>
                <w:rFonts w:eastAsiaTheme="minorEastAsia"/>
                <w:lang w:eastAsia="zh-TW"/>
              </w:rPr>
              <w:t>BWP, and other BW/rank adaptation</w:t>
            </w:r>
          </w:p>
        </w:tc>
        <w:tc>
          <w:tcPr>
            <w:tcW w:w="4953" w:type="dxa"/>
            <w:tcBorders>
              <w:top w:val="single" w:color="000000" w:sz="4" w:space="0"/>
              <w:left w:val="single" w:color="000000" w:sz="4" w:space="0"/>
              <w:bottom w:val="single" w:color="000000" w:sz="4" w:space="0"/>
              <w:right w:val="single" w:color="000000" w:sz="4" w:space="0"/>
            </w:tcBorders>
          </w:tcPr>
          <w:p w14:paraId="11D0D47B">
            <w:pPr>
              <w:rPr>
                <w:rFonts w:eastAsiaTheme="minorEastAsia"/>
                <w:lang w:eastAsia="zh-TW"/>
              </w:rPr>
            </w:pPr>
            <w:r>
              <w:rPr>
                <w:rFonts w:eastAsiaTheme="minorEastAsia"/>
                <w:lang w:eastAsia="zh-TW"/>
              </w:rPr>
              <w:t xml:space="preserve">BW adaptation, MIMO layer adaptation, coarse </w:t>
            </w:r>
            <w:r>
              <w:rPr>
                <w:rFonts w:hint="eastAsia" w:eastAsiaTheme="minorEastAsia"/>
                <w:lang w:eastAsia="zh-TW"/>
              </w:rPr>
              <w:t xml:space="preserve">supported </w:t>
            </w:r>
            <w:r>
              <w:rPr>
                <w:rFonts w:eastAsiaTheme="minorEastAsia"/>
                <w:lang w:eastAsia="zh-TW"/>
              </w:rPr>
              <w:t>BWP granularity</w:t>
            </w:r>
          </w:p>
        </w:tc>
      </w:tr>
      <w:tr w14:paraId="1CC2B78A">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69816039">
            <w:pPr>
              <w:rPr>
                <w:rFonts w:eastAsiaTheme="minorEastAsia"/>
                <w:lang w:eastAsia="zh-TW"/>
              </w:rPr>
            </w:pPr>
            <w:r>
              <w:rPr>
                <w:rFonts w:eastAsiaTheme="minorEastAsia"/>
                <w:lang w:eastAsia="zh-TW"/>
              </w:rPr>
              <w:t>MIMO</w:t>
            </w:r>
          </w:p>
        </w:tc>
        <w:tc>
          <w:tcPr>
            <w:tcW w:w="4953" w:type="dxa"/>
            <w:tcBorders>
              <w:top w:val="single" w:color="000000" w:sz="4" w:space="0"/>
              <w:left w:val="single" w:color="000000" w:sz="4" w:space="0"/>
              <w:bottom w:val="single" w:color="000000" w:sz="4" w:space="0"/>
              <w:right w:val="single" w:color="000000" w:sz="4" w:space="0"/>
            </w:tcBorders>
          </w:tcPr>
          <w:p w14:paraId="23555C4D">
            <w:pPr>
              <w:rPr>
                <w:rFonts w:eastAsiaTheme="minorEastAsia"/>
                <w:lang w:eastAsia="zh-TW"/>
              </w:rPr>
            </w:pPr>
            <w:r>
              <w:rPr>
                <w:rFonts w:eastAsiaTheme="minorEastAsia"/>
                <w:lang w:eastAsia="zh-TW"/>
              </w:rPr>
              <w:t xml:space="preserve">Spatial domain/antenna adaptation in BS, NES CSI calculation in UE, </w:t>
            </w:r>
          </w:p>
        </w:tc>
      </w:tr>
      <w:tr w14:paraId="7430490A">
        <w:trPr>
          <w:trHeight w:val="286" w:hRule="atLeast"/>
        </w:trPr>
        <w:tc>
          <w:tcPr>
            <w:tcW w:w="9210" w:type="dxa"/>
            <w:gridSpan w:val="2"/>
            <w:tcBorders>
              <w:top w:val="single" w:color="000000" w:sz="4" w:space="0"/>
              <w:left w:val="single" w:color="000000" w:sz="4" w:space="0"/>
              <w:bottom w:val="single" w:color="000000" w:sz="4" w:space="0"/>
              <w:right w:val="single" w:color="000000" w:sz="4" w:space="0"/>
            </w:tcBorders>
          </w:tcPr>
          <w:p w14:paraId="4948429C">
            <w:pPr>
              <w:rPr>
                <w:rFonts w:eastAsiaTheme="minorEastAsia"/>
                <w:lang w:eastAsia="zh-TW"/>
              </w:rPr>
            </w:pPr>
          </w:p>
        </w:tc>
      </w:tr>
      <w:tr w14:paraId="37CB71CB">
        <w:trPr>
          <w:trHeight w:val="286" w:hRule="atLeast"/>
        </w:trPr>
        <w:tc>
          <w:tcPr>
            <w:tcW w:w="4257" w:type="dxa"/>
            <w:tcBorders>
              <w:top w:val="single" w:color="000000" w:sz="4" w:space="0"/>
              <w:left w:val="single" w:color="000000" w:sz="4" w:space="0"/>
              <w:bottom w:val="single" w:color="000000" w:sz="4" w:space="0"/>
              <w:right w:val="single" w:color="000000" w:sz="4" w:space="0"/>
            </w:tcBorders>
          </w:tcPr>
          <w:p w14:paraId="7B6EF3D3">
            <w:pPr>
              <w:rPr>
                <w:rFonts w:eastAsiaTheme="minorEastAsia"/>
                <w:lang w:eastAsia="zh-TW"/>
              </w:rPr>
            </w:pPr>
            <w:r>
              <w:rPr>
                <w:rFonts w:eastAsiaTheme="minorEastAsia"/>
                <w:lang w:eastAsia="zh-TW"/>
              </w:rPr>
              <w:t>UE Power models &amp; evaluation methodologies &amp; evaluation metric</w:t>
            </w:r>
          </w:p>
        </w:tc>
        <w:tc>
          <w:tcPr>
            <w:tcW w:w="4953" w:type="dxa"/>
            <w:tcBorders>
              <w:top w:val="single" w:color="000000" w:sz="4" w:space="0"/>
              <w:left w:val="single" w:color="000000" w:sz="4" w:space="0"/>
              <w:bottom w:val="single" w:color="000000" w:sz="4" w:space="0"/>
              <w:right w:val="single" w:color="000000" w:sz="4" w:space="0"/>
            </w:tcBorders>
          </w:tcPr>
          <w:p w14:paraId="6A8CD4C5">
            <w:pPr>
              <w:rPr>
                <w:rFonts w:eastAsiaTheme="minorEastAsia"/>
                <w:vertAlign w:val="subscript"/>
                <w:lang w:eastAsia="zh-TW"/>
              </w:rPr>
            </w:pPr>
            <w:r>
              <w:rPr>
                <w:rFonts w:eastAsiaTheme="minorEastAsia"/>
                <w:lang w:eastAsia="zh-TW"/>
              </w:rPr>
              <w:t>Methodology includes scenarios, baselines, etc.</w:t>
            </w:r>
          </w:p>
        </w:tc>
      </w:tr>
    </w:tbl>
    <w:p w14:paraId="296BD983">
      <w:pPr>
        <w:jc w:val="center"/>
      </w:pPr>
    </w:p>
    <w:p w14:paraId="4A75523F">
      <w:pPr>
        <w:rPr>
          <w:lang w:eastAsia="zh-CN"/>
        </w:rPr>
      </w:pPr>
      <w:r>
        <w:rPr>
          <w:lang w:eastAsia="ja-JP"/>
        </w:rPr>
        <w:t>In this section, we’ll discuss potential 6GR EE technologies</w:t>
      </w:r>
      <w:r>
        <w:rPr>
          <w:rFonts w:hint="eastAsia"/>
          <w:lang w:eastAsia="zh-CN"/>
        </w:rPr>
        <w:t xml:space="preserve"> or</w:t>
      </w:r>
      <w:r>
        <w:rPr>
          <w:lang w:eastAsia="zh-CN"/>
        </w:rPr>
        <w:t xml:space="preserve"> technologies enhancement based on three principles of on-demand transmission with less ON and more OFF, simplified design and low-power signal design. </w:t>
      </w:r>
    </w:p>
    <w:p w14:paraId="40CCCC36">
      <w:pPr>
        <w:pStyle w:val="3"/>
        <w:rPr>
          <w:lang w:eastAsia="zh-CN"/>
        </w:rPr>
      </w:pPr>
      <w:r>
        <w:rPr>
          <w:lang w:eastAsia="zh-CN"/>
        </w:rPr>
        <w:t xml:space="preserve"> Cell level related 6GR EE technologies</w:t>
      </w:r>
    </w:p>
    <w:p w14:paraId="6A40292E">
      <w:pPr>
        <w:pStyle w:val="4"/>
        <w:rPr>
          <w:lang w:eastAsia="zh-CN"/>
        </w:rPr>
      </w:pPr>
      <w:r>
        <w:rPr>
          <w:rFonts w:hint="eastAsia"/>
          <w:lang w:eastAsia="zh-CN"/>
        </w:rPr>
        <w:t>Time-domain</w:t>
      </w:r>
      <w:r>
        <w:rPr>
          <w:lang w:eastAsia="zh-CN"/>
        </w:rPr>
        <w:t xml:space="preserve"> transmissions</w:t>
      </w:r>
    </w:p>
    <w:p w14:paraId="4CF7A88C">
      <w:pPr>
        <w:rPr>
          <w:lang w:eastAsia="zh-CN"/>
        </w:rPr>
      </w:pPr>
      <w:r>
        <w:rPr>
          <w:lang w:eastAsia="zh-CN"/>
        </w:rPr>
        <w:t>To improve the energy efficiency, a key strategy in 6G is the use of on-demand transmission, which means transmitting signals only when they are needed rather than continuously or periodically without purpose.</w:t>
      </w:r>
      <w:r>
        <w:rPr>
          <w:rFonts w:hint="eastAsia"/>
          <w:lang w:eastAsia="zh-CN"/>
        </w:rPr>
        <w:t xml:space="preserve"> </w:t>
      </w:r>
      <w:r>
        <w:rPr>
          <w:lang w:eastAsia="zh-CN"/>
        </w:rPr>
        <w:t>This approach tackles the energy wasted by “always-on” signals in current networks.</w:t>
      </w:r>
      <w:r>
        <w:rPr>
          <w:rFonts w:hint="eastAsia"/>
          <w:lang w:eastAsia="zh-CN"/>
        </w:rPr>
        <w:t xml:space="preserve"> </w:t>
      </w:r>
      <w:r>
        <w:rPr>
          <w:lang w:eastAsia="zh-CN"/>
        </w:rPr>
        <w:t xml:space="preserve">By turning off or reducing the frequency of various signals, both </w:t>
      </w:r>
      <w:r>
        <w:rPr>
          <w:rFonts w:hint="eastAsia"/>
          <w:lang w:val="en-US" w:eastAsia="zh-CN"/>
        </w:rPr>
        <w:t>BS</w:t>
      </w:r>
      <w:r>
        <w:rPr>
          <w:lang w:eastAsia="zh-CN"/>
        </w:rPr>
        <w:t xml:space="preserve"> and UE can </w:t>
      </w:r>
      <w:r>
        <w:rPr>
          <w:rFonts w:hint="eastAsia"/>
          <w:lang w:eastAsia="zh-CN"/>
        </w:rPr>
        <w:t>save the</w:t>
      </w:r>
      <w:r>
        <w:rPr>
          <w:lang w:eastAsia="zh-CN"/>
        </w:rPr>
        <w:t xml:space="preserve"> power</w:t>
      </w:r>
      <w:r>
        <w:rPr>
          <w:rFonts w:hint="eastAsia"/>
          <w:lang w:eastAsia="zh-CN"/>
        </w:rPr>
        <w:t xml:space="preserve"> </w:t>
      </w:r>
      <w:r>
        <w:rPr>
          <w:lang w:eastAsia="zh-CN"/>
        </w:rPr>
        <w:t>consumption.</w:t>
      </w:r>
      <w:r>
        <w:rPr>
          <w:rFonts w:hint="eastAsia"/>
          <w:lang w:eastAsia="zh-CN"/>
        </w:rPr>
        <w:t xml:space="preserve"> </w:t>
      </w:r>
      <w:r>
        <w:rPr>
          <w:lang w:eastAsia="zh-CN"/>
        </w:rPr>
        <w:t xml:space="preserve">In essence, the 6G </w:t>
      </w:r>
      <w:r>
        <w:rPr>
          <w:rFonts w:hint="eastAsia"/>
          <w:lang w:eastAsia="zh-CN"/>
        </w:rPr>
        <w:t>principle</w:t>
      </w:r>
      <w:r>
        <w:rPr>
          <w:lang w:eastAsia="zh-CN"/>
        </w:rPr>
        <w:t xml:space="preserve"> is “Less ON, More OFF” allowing network components to spend more time in sleep or low-power states.</w:t>
      </w:r>
    </w:p>
    <w:p w14:paraId="3118EC06">
      <w:pPr>
        <w:jc w:val="center"/>
        <w:rPr>
          <w:lang w:eastAsia="zh-CN"/>
        </w:rPr>
      </w:pPr>
      <w:r>
        <w:drawing>
          <wp:inline distT="0" distB="0" distL="114300" distR="114300">
            <wp:extent cx="1977390" cy="1157605"/>
            <wp:effectExtent l="0" t="0" r="0" b="0"/>
            <wp:docPr id="3" name="图片 2" descr="/Users/tcl/Library/Containers/com.kingsoft.wpsoffice.mac/Data/tmp/photoeditapp/20250814160309/temp.png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tcl/Library/Containers/com.kingsoft.wpsoffice.mac/Data/tmp/photoeditapp/20250814160309/temp.pngtemp"/>
                    <pic:cNvPicPr>
                      <a:picLocks noChangeAspect="1"/>
                    </pic:cNvPicPr>
                  </pic:nvPicPr>
                  <pic:blipFill>
                    <a:blip r:embed="rId10"/>
                    <a:srcRect b="12207"/>
                    <a:stretch>
                      <a:fillRect/>
                    </a:stretch>
                  </pic:blipFill>
                  <pic:spPr>
                    <a:xfrm>
                      <a:off x="0" y="0"/>
                      <a:ext cx="1977390" cy="1157605"/>
                    </a:xfrm>
                    <a:prstGeom prst="rect">
                      <a:avLst/>
                    </a:prstGeom>
                  </pic:spPr>
                </pic:pic>
              </a:graphicData>
            </a:graphic>
          </wp:inline>
        </w:drawing>
      </w:r>
    </w:p>
    <w:p w14:paraId="1BE23CF5">
      <w:pPr>
        <w:pStyle w:val="6"/>
        <w:ind w:left="864" w:hanging="864"/>
        <w:rPr>
          <w:lang w:eastAsia="zh-CN"/>
        </w:rPr>
      </w:pPr>
      <w:r>
        <w:rPr>
          <w:rFonts w:hint="eastAsia"/>
          <w:lang w:eastAsia="zh-CN"/>
        </w:rPr>
        <w:t>Common signal</w:t>
      </w:r>
      <w:r>
        <w:rPr>
          <w:lang w:eastAsia="zh-CN"/>
        </w:rPr>
        <w:t>s transmission</w:t>
      </w:r>
    </w:p>
    <w:p w14:paraId="785969C3">
      <w:pPr>
        <w:rPr>
          <w:lang w:eastAsia="zh-CN"/>
        </w:rPr>
      </w:pPr>
      <w:r>
        <w:rPr>
          <w:lang w:eastAsia="zh-CN"/>
        </w:rPr>
        <w:t xml:space="preserve">The </w:t>
      </w:r>
      <w:r>
        <w:rPr>
          <w:rFonts w:hint="eastAsia"/>
          <w:lang w:eastAsia="zh-CN"/>
        </w:rPr>
        <w:t xml:space="preserve">6G </w:t>
      </w:r>
      <w:r>
        <w:rPr>
          <w:lang w:eastAsia="zh-CN"/>
        </w:rPr>
        <w:t>base station can save energy by adapting the configuration of common channels (including SSB, system information, PRACH and paging) based on real-time load.</w:t>
      </w:r>
      <w:r>
        <w:rPr>
          <w:rFonts w:hint="eastAsia"/>
          <w:lang w:eastAsia="zh-CN"/>
        </w:rPr>
        <w:t xml:space="preserve"> </w:t>
      </w:r>
      <w:r>
        <w:rPr>
          <w:lang w:eastAsia="zh-CN"/>
        </w:rPr>
        <w:t>This adaptability ensures energy saving to the maximum extent.</w:t>
      </w:r>
    </w:p>
    <w:p w14:paraId="21BBB47A">
      <w:pPr>
        <w:rPr>
          <w:lang w:eastAsia="zh-CN"/>
        </w:rPr>
      </w:pPr>
      <w:r>
        <w:rPr>
          <w:lang w:eastAsia="zh-CN"/>
        </w:rPr>
        <w:t xml:space="preserve">For </w:t>
      </w:r>
      <w:r>
        <w:rPr>
          <w:rFonts w:hint="eastAsia"/>
          <w:lang w:eastAsia="zh-CN"/>
        </w:rPr>
        <w:t>S</w:t>
      </w:r>
      <w:r>
        <w:rPr>
          <w:lang w:eastAsia="zh-CN"/>
        </w:rPr>
        <w:t>SB, in current 5G networks, signals like synchronization bursts and system information are sent at fixed intervals to ensure any new device can discover and connect to the cell at any time.</w:t>
      </w:r>
      <w:r>
        <w:rPr>
          <w:rFonts w:hint="eastAsia"/>
          <w:lang w:eastAsia="zh-CN"/>
        </w:rPr>
        <w:t xml:space="preserve"> Even though on demand </w:t>
      </w:r>
      <w:r>
        <w:rPr>
          <w:lang w:eastAsia="zh-CN"/>
        </w:rPr>
        <w:t>synchronization bursts</w:t>
      </w:r>
      <w:r>
        <w:rPr>
          <w:rFonts w:hint="eastAsia"/>
          <w:lang w:eastAsia="zh-CN"/>
        </w:rPr>
        <w:t xml:space="preserve"> </w:t>
      </w:r>
      <w:r>
        <w:rPr>
          <w:lang w:eastAsia="zh-CN"/>
        </w:rPr>
        <w:t xml:space="preserve">or </w:t>
      </w:r>
      <w:r>
        <w:rPr>
          <w:rFonts w:hint="eastAsia"/>
          <w:lang w:eastAsia="zh-CN"/>
        </w:rPr>
        <w:t>on demand</w:t>
      </w:r>
      <w:r>
        <w:rPr>
          <w:lang w:eastAsia="zh-CN"/>
        </w:rPr>
        <w:t xml:space="preserve"> SIB1</w:t>
      </w:r>
      <w:r>
        <w:rPr>
          <w:rFonts w:hint="eastAsia"/>
          <w:lang w:eastAsia="zh-CN"/>
        </w:rPr>
        <w:t xml:space="preserve">were supported in 5G, the applicable </w:t>
      </w:r>
      <w:r>
        <w:rPr>
          <w:lang w:eastAsia="zh-CN"/>
        </w:rPr>
        <w:t>scenario</w:t>
      </w:r>
      <w:r>
        <w:rPr>
          <w:rFonts w:hint="eastAsia"/>
          <w:lang w:eastAsia="zh-CN"/>
        </w:rPr>
        <w:t xml:space="preserve"> and the </w:t>
      </w:r>
      <w:r>
        <w:rPr>
          <w:lang w:eastAsia="zh-CN"/>
        </w:rPr>
        <w:t>benefit</w:t>
      </w:r>
      <w:r>
        <w:rPr>
          <w:rFonts w:hint="eastAsia"/>
          <w:lang w:eastAsia="zh-CN"/>
        </w:rPr>
        <w:t xml:space="preserve"> is limited due to the restriction of the legacy framework of 5G. </w:t>
      </w:r>
      <w:r>
        <w:rPr>
          <w:lang w:eastAsia="zh-CN"/>
        </w:rPr>
        <w:t xml:space="preserve">6G aims to break </w:t>
      </w:r>
      <w:r>
        <w:rPr>
          <w:rFonts w:hint="eastAsia"/>
          <w:lang w:eastAsia="zh-CN"/>
        </w:rPr>
        <w:t xml:space="preserve">the </w:t>
      </w:r>
      <w:r>
        <w:rPr>
          <w:lang w:eastAsia="zh-CN"/>
        </w:rPr>
        <w:t>restriction</w:t>
      </w:r>
      <w:r>
        <w:rPr>
          <w:rFonts w:hint="eastAsia"/>
          <w:lang w:eastAsia="zh-CN"/>
        </w:rPr>
        <w:t xml:space="preserve"> </w:t>
      </w:r>
      <w:r>
        <w:rPr>
          <w:lang w:eastAsia="zh-CN"/>
        </w:rPr>
        <w:t xml:space="preserve">by making synchronization bursts and system information transmissions adaptive </w:t>
      </w:r>
      <w:r>
        <w:rPr>
          <w:rFonts w:hint="eastAsia"/>
          <w:lang w:eastAsia="zh-CN"/>
        </w:rPr>
        <w:t>or</w:t>
      </w:r>
      <w:r>
        <w:rPr>
          <w:lang w:eastAsia="zh-CN"/>
        </w:rPr>
        <w:t xml:space="preserve"> event-driven</w:t>
      </w:r>
      <w:r>
        <w:rPr>
          <w:rFonts w:hint="eastAsia"/>
          <w:lang w:eastAsia="zh-CN"/>
        </w:rPr>
        <w:t>.</w:t>
      </w:r>
      <w:r>
        <w:rPr>
          <w:lang w:eastAsia="zh-CN"/>
        </w:rPr>
        <w:t xml:space="preserve"> In 6G, </w:t>
      </w:r>
      <w:r>
        <w:rPr>
          <w:rFonts w:hint="eastAsia"/>
          <w:lang w:eastAsia="zh-CN"/>
        </w:rPr>
        <w:t>S</w:t>
      </w:r>
      <w:r>
        <w:rPr>
          <w:lang w:eastAsia="zh-CN"/>
        </w:rPr>
        <w:t>SB should support low power consumption and on-demand transmission: when no terminals require it, the periodic transmission can be greatly reduced or even stopped and when terminals need to access or specific events are triggered, the network can quickly send SSB to recovery service. For on-demand transmission for SSB including flexible periodicity/pattern adaptation and efficient beam measurement, both event-driven and UE/BS triggered should be studied in 6G day 1. By such an on-demand manner, the impact of latency of initial access should also be considered.</w:t>
      </w:r>
    </w:p>
    <w:p w14:paraId="3FD1C8B2">
      <w:pPr>
        <w:rPr>
          <w:rFonts w:hint="default" w:ascii="Times New Roman Bold Italic" w:hAnsi="Times New Roman Bold Italic" w:cs="Times New Roman Bold Italic"/>
          <w:i/>
          <w:iCs/>
          <w:lang w:eastAsia="zh-CN"/>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12</w:t>
      </w:r>
      <w:r>
        <w:rPr>
          <w:rFonts w:hint="default"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GB"/>
        </w:rPr>
        <w:t>Study and evaluate on-demand synchronization bursts and system information transmission by event-driven or UE/BS triggered, which need</w:t>
      </w:r>
      <w:r>
        <w:rPr>
          <w:rFonts w:hint="default" w:ascii="Times New Roman Bold Italic" w:hAnsi="Times New Roman Bold Italic" w:cs="Times New Roman Bold Italic"/>
          <w:b/>
          <w:bCs/>
          <w:i/>
          <w:iCs/>
          <w:lang w:val="en-US" w:eastAsia="zh-CN"/>
        </w:rPr>
        <w:t>s</w:t>
      </w:r>
      <w:r>
        <w:rPr>
          <w:rFonts w:hint="default" w:ascii="Times New Roman Bold Italic" w:hAnsi="Times New Roman Bold Italic" w:cs="Times New Roman Bold Italic"/>
          <w:b/>
          <w:bCs/>
          <w:i/>
          <w:iCs/>
          <w:lang w:val="en-GB"/>
        </w:rPr>
        <w:t xml:space="preserve"> to minimize the negative impact of initial access.</w:t>
      </w:r>
    </w:p>
    <w:p w14:paraId="3CF6D4E8">
      <w:pPr>
        <w:rPr>
          <w:lang w:eastAsia="zh-CN"/>
        </w:rPr>
      </w:pPr>
      <w:r>
        <w:rPr>
          <w:lang w:eastAsia="zh-CN"/>
        </w:rPr>
        <w:t>For paging procedure, although the existing mechanism already allows PEI and LP-WUS to indicate to the terminal whether it is necessary to monitor the current paging cycle before PO, PEI and LP-WUS themselves occupy certain downlink air interface resources. Once paging is triggered, in millimeter-wave cells, broadcast-type signaling needs to be repeatedly sent through multiple beams to cover the entire cell, and paging also brings additional overhead. In 6G, factors such as paging cycle and grouping methods still limit the efficiency of paging. The paging mechanism still faces several challenges, including energy efficiency issues caused by multi-beam transmission, the impact of multiple cells/multiple bands, and power saving when combined with DTX/DRX. By current grouping mechanism in 5G, when there are many UEs to be paged or the UEs to be paged are not in the same group, the network needs to repeatedly send multiple Paging PDCCHs on different POs to cover all the UEs to be paged. When facing massive terminals or bulk services, the efficiency of this grouping mechanism will be greatly reduced. Hence, more efficient paging procedure should be studied in 6G.</w:t>
      </w:r>
    </w:p>
    <w:p w14:paraId="3492C888">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13</w:t>
      </w:r>
      <w:r>
        <w:rPr>
          <w:rFonts w:hint="default"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GB"/>
        </w:rPr>
        <w:t xml:space="preserve">Study </w:t>
      </w:r>
      <w:r>
        <w:rPr>
          <w:rFonts w:hint="default" w:ascii="Times New Roman Bold Italic" w:hAnsi="Times New Roman Bold Italic" w:cs="Times New Roman Bold Italic"/>
          <w:b/>
          <w:bCs/>
          <w:i/>
          <w:iCs/>
          <w:lang w:eastAsia="zh-CN"/>
        </w:rPr>
        <w:t>more efficient paging procedure considering multi-beams, multiple cells/multiple bands, DTX/DRX and grouping mechanism</w:t>
      </w:r>
      <w:r>
        <w:rPr>
          <w:rFonts w:hint="default" w:ascii="Times New Roman Bold Italic" w:hAnsi="Times New Roman Bold Italic" w:cs="Times New Roman Bold Italic"/>
          <w:b/>
          <w:bCs/>
          <w:i/>
          <w:iCs/>
          <w:lang w:val="en-GB"/>
        </w:rPr>
        <w:t>.</w:t>
      </w:r>
    </w:p>
    <w:p w14:paraId="7D9C6ADC">
      <w:pPr>
        <w:pStyle w:val="6"/>
        <w:ind w:left="864" w:hanging="864"/>
        <w:rPr>
          <w:lang w:eastAsia="zh-CN"/>
        </w:rPr>
      </w:pPr>
      <w:r>
        <w:rPr>
          <w:lang w:eastAsia="zh-CN"/>
        </w:rPr>
        <w:t>Cell DTX/DRX</w:t>
      </w:r>
    </w:p>
    <w:p w14:paraId="08305DEE">
      <w:pPr>
        <w:rPr>
          <w:lang w:eastAsia="zh-CN"/>
        </w:rPr>
      </w:pPr>
      <w:r>
        <w:rPr>
          <w:lang w:eastAsia="zh-CN"/>
        </w:rPr>
        <w:t>A 6G base station will utilize discontinuous transmission techniques extensively.</w:t>
      </w:r>
      <w:r>
        <w:rPr>
          <w:rFonts w:hint="eastAsia"/>
          <w:lang w:eastAsia="zh-CN"/>
        </w:rPr>
        <w:t xml:space="preserve"> </w:t>
      </w:r>
      <w:r>
        <w:rPr>
          <w:lang w:eastAsia="zh-CN"/>
        </w:rPr>
        <w:t>This means in the absence of active data or required signaling, the network can shut off its transmit chain or reduce its activity.</w:t>
      </w:r>
      <w:r>
        <w:rPr>
          <w:rFonts w:hint="eastAsia"/>
          <w:lang w:eastAsia="zh-CN"/>
        </w:rPr>
        <w:t xml:space="preserve"> </w:t>
      </w:r>
      <w:r>
        <w:rPr>
          <w:lang w:eastAsia="zh-CN"/>
        </w:rPr>
        <w:t xml:space="preserve">For example, if no UEs need downlink data at a moment and all required control signaling has been handled, the network can enter a micro-sleep </w:t>
      </w:r>
      <w:r>
        <w:rPr>
          <w:rFonts w:hint="eastAsia"/>
          <w:lang w:eastAsia="zh-CN"/>
        </w:rPr>
        <w:t>and stop</w:t>
      </w:r>
      <w:r>
        <w:rPr>
          <w:lang w:eastAsia="zh-CN"/>
        </w:rPr>
        <w:t xml:space="preserve"> all transmissions.</w:t>
      </w:r>
      <w:r>
        <w:rPr>
          <w:rFonts w:hint="eastAsia"/>
          <w:lang w:eastAsia="zh-CN"/>
        </w:rPr>
        <w:t xml:space="preserve"> </w:t>
      </w:r>
      <w:r>
        <w:rPr>
          <w:lang w:eastAsia="zh-CN"/>
        </w:rPr>
        <w:t>S</w:t>
      </w:r>
      <w:r>
        <w:rPr>
          <w:rFonts w:hint="eastAsia"/>
          <w:lang w:eastAsia="zh-CN"/>
        </w:rPr>
        <w:t xml:space="preserve">uch </w:t>
      </w:r>
      <w:r>
        <w:rPr>
          <w:lang w:eastAsia="zh-CN"/>
        </w:rPr>
        <w:t>discontinuous transmission techniques</w:t>
      </w:r>
      <w:r>
        <w:rPr>
          <w:rFonts w:hint="eastAsia"/>
          <w:lang w:eastAsia="zh-CN"/>
        </w:rPr>
        <w:t xml:space="preserve"> will </w:t>
      </w:r>
      <w:r>
        <w:rPr>
          <w:lang w:eastAsia="zh-CN"/>
        </w:rPr>
        <w:t>coordinate</w:t>
      </w:r>
      <w:r>
        <w:rPr>
          <w:rFonts w:hint="eastAsia"/>
          <w:lang w:eastAsia="zh-CN"/>
        </w:rPr>
        <w:t xml:space="preserve"> </w:t>
      </w:r>
      <w:r>
        <w:rPr>
          <w:lang w:eastAsia="zh-CN"/>
        </w:rPr>
        <w:t>with</w:t>
      </w:r>
      <w:r>
        <w:rPr>
          <w:rFonts w:hint="eastAsia"/>
          <w:lang w:eastAsia="zh-CN"/>
        </w:rPr>
        <w:t xml:space="preserve"> both on demand </w:t>
      </w:r>
      <w:r>
        <w:rPr>
          <w:lang w:eastAsia="zh-CN"/>
        </w:rPr>
        <w:t>UE-specific signals</w:t>
      </w:r>
      <w:r>
        <w:rPr>
          <w:rFonts w:hint="eastAsia"/>
          <w:lang w:eastAsia="zh-CN"/>
        </w:rPr>
        <w:t xml:space="preserve"> and on demand common signals.</w:t>
      </w:r>
    </w:p>
    <w:p w14:paraId="75D1E085">
      <w:pPr>
        <w:rPr>
          <w:lang w:eastAsia="zh-CN"/>
        </w:rPr>
      </w:pPr>
      <w:r>
        <w:rPr>
          <w:lang w:eastAsia="zh-CN"/>
        </w:rPr>
        <w:t>In current 5G, Cell DTX and UE DRX are configured independently, it is difficult to align the active time of different mechanism, especially facing massive terminals or bulk services. To minimize both the network’s and UE’s energy wasting and minimize the latency of data transmission, more efficient and flexible Cell DTX/DRX joint with UE DRX mechanism should be studied.</w:t>
      </w:r>
    </w:p>
    <w:p w14:paraId="2052A477">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14</w:t>
      </w:r>
      <w:r>
        <w:rPr>
          <w:rFonts w:hint="default"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GB"/>
        </w:rPr>
        <w:t>Study</w:t>
      </w:r>
      <w:r>
        <w:rPr>
          <w:rFonts w:hint="default" w:ascii="Times New Roman Bold Italic" w:hAnsi="Times New Roman Bold Italic" w:cs="Times New Roman Bold Italic"/>
          <w:b/>
          <w:bCs/>
          <w:i/>
          <w:iCs/>
          <w:lang w:eastAsia="zh-CN"/>
        </w:rPr>
        <w:t xml:space="preserve"> more efficient and flexible Cell DTX/DRX mechanism considering joint with UE DRX mechanism, coordinate with both on demand UE-specific signals and on demand common signals</w:t>
      </w:r>
      <w:r>
        <w:rPr>
          <w:rFonts w:hint="default" w:ascii="Times New Roman Bold Italic" w:hAnsi="Times New Roman Bold Italic" w:cs="Times New Roman Bold Italic"/>
          <w:b/>
          <w:bCs/>
          <w:i/>
          <w:iCs/>
          <w:lang w:val="en-GB"/>
        </w:rPr>
        <w:t>.</w:t>
      </w:r>
    </w:p>
    <w:p w14:paraId="2E27E978">
      <w:pPr>
        <w:rPr>
          <w:lang w:eastAsia="zh-CN"/>
        </w:rPr>
      </w:pPr>
    </w:p>
    <w:p w14:paraId="222BCB15">
      <w:pPr>
        <w:pStyle w:val="4"/>
        <w:rPr>
          <w:lang w:eastAsia="zh-CN"/>
        </w:rPr>
      </w:pPr>
      <w:r>
        <w:rPr>
          <w:rFonts w:eastAsiaTheme="minorEastAsia"/>
          <w:lang w:eastAsia="zh-TW"/>
        </w:rPr>
        <w:t xml:space="preserve">Multi-carrier/CA </w:t>
      </w:r>
      <w:r>
        <w:rPr>
          <w:rFonts w:hint="eastAsia" w:eastAsiaTheme="minorEastAsia"/>
          <w:lang w:eastAsia="zh-CN"/>
        </w:rPr>
        <w:t>transmissions</w:t>
      </w:r>
    </w:p>
    <w:p w14:paraId="2035DF80">
      <w:pPr>
        <w:pStyle w:val="5"/>
        <w:rPr>
          <w:lang w:eastAsia="zh-CN"/>
        </w:rPr>
      </w:pPr>
      <w:r>
        <w:rPr>
          <w:lang w:eastAsia="zh-CN"/>
        </w:rPr>
        <w:t>In 6G, a key energy-saving paradigm is an anchor-capacity carrier structure, where one “anchor” carrier handles essential signals while additional carriers remain mostly dormant. The anchor (e.g. a low-frequency cell) continuously provides minimum coverage and broadcasts only necessary synchronization or system information, whereas high-bandwidth SCells are activated on-demand for data bursts. This avoids the legacy approach of every carrier transmitting always-on reference signals. For instance, rather than each carrier periodically sending SSB and system info, 6G can designate a primary cell to carry those for the whole network slice, keeping other carriers in a deep sleep state until traffic requires their use. Studies indicate that such on-demand multi-carrier operation can yield drastic network energy savings – a simulation in NR showed up to ~83.7% BS energy reduction at zero load by eliminating continuous broadcasts on secondary carriers. In essence, any spectrum band idle at a given moment should consume near-zero power, enabled by the anchor handling all common signaling.</w:t>
      </w:r>
    </w:p>
    <w:p w14:paraId="0FD14CBD">
      <w:pPr>
        <w:pStyle w:val="5"/>
        <w:jc w:val="center"/>
        <w:rPr>
          <w:lang w:eastAsia="zh-CN"/>
        </w:rPr>
      </w:pPr>
      <w:r>
        <w:drawing>
          <wp:inline distT="0" distB="0" distL="114300" distR="114300">
            <wp:extent cx="2830830" cy="1872615"/>
            <wp:effectExtent l="0" t="0" r="13970" b="698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pic:cNvPicPr>
                      <a:picLocks noChangeAspect="1" noChangeArrowheads="1"/>
                    </pic:cNvPicPr>
                  </pic:nvPicPr>
                  <pic:blipFill>
                    <a:blip r:embed="rId11"/>
                    <a:stretch>
                      <a:fillRect/>
                    </a:stretch>
                  </pic:blipFill>
                  <pic:spPr>
                    <a:xfrm>
                      <a:off x="0" y="0"/>
                      <a:ext cx="2830830" cy="1872615"/>
                    </a:xfrm>
                    <a:prstGeom prst="rect">
                      <a:avLst/>
                    </a:prstGeom>
                    <a:noFill/>
                    <a:ln w="9525">
                      <a:noFill/>
                    </a:ln>
                  </pic:spPr>
                </pic:pic>
              </a:graphicData>
            </a:graphic>
          </wp:inline>
        </w:drawing>
      </w:r>
    </w:p>
    <w:p w14:paraId="70DC77EE">
      <w:pPr>
        <w:pStyle w:val="5"/>
        <w:rPr>
          <w:rFonts w:ascii="Times New Roman Italic" w:hAnsi="Times New Roman Italic" w:cs="Times New Roman Italic"/>
          <w:i/>
          <w:iCs/>
          <w:lang w:eastAsia="zh-CN"/>
        </w:rPr>
      </w:pPr>
      <w:r>
        <w:rPr>
          <w:rFonts w:hint="eastAsia" w:ascii="Times New Roman Italic" w:hAnsi="Times New Roman Italic" w:cs="Times New Roman Italic"/>
          <w:i/>
          <w:iCs/>
          <w:lang w:eastAsia="zh-CN"/>
        </w:rPr>
        <w:t>Figure：</w:t>
      </w:r>
      <w:r>
        <w:rPr>
          <w:rFonts w:ascii="Times New Roman Italic" w:hAnsi="Times New Roman Italic" w:cs="Times New Roman Italic"/>
          <w:i/>
          <w:iCs/>
          <w:lang w:eastAsia="zh-CN"/>
        </w:rPr>
        <w:t>Concept of multi-carrier energy saving: in low-load conditions (top), only an anchor carrier periodically transmits minimal signals while secondary carriers remain fully dormant; under high load (bottom), secondary carriers are promptly activated to carry data traffic on-demand.</w:t>
      </w:r>
    </w:p>
    <w:p w14:paraId="351FB5C4">
      <w:pPr>
        <w:pStyle w:val="5"/>
        <w:rPr>
          <w:lang w:eastAsia="zh-CN"/>
        </w:rPr>
      </w:pPr>
      <w:r>
        <w:rPr>
          <w:lang w:eastAsia="zh-CN"/>
        </w:rPr>
        <w:t xml:space="preserve">To realize this, fast SCell activation and dormancy procedures are critical. 6G devices and base stations must coordinate to swiftly switch secondary carriers on or off without lengthy setup delays. If a UE’s data demand spikes or incoming traffic is detected, the network should rapidly wake the necessary SCell(s), transmit or receive the data, then promptly return those carriers to sleep. This may involve new control signaling – e.g. a brief wake-up indicator on the anchor or an uplink trigger from the UE – to initiate SCell activation (discussed in 5.2.2.2). Enhancements over 5G include ensuring that adding a carrier doesn’t require heavy measurement or synchronization overhead; for example, SSB-less SCells are envisaged as baseline in 6G in a SSB-less SCell design, the secondary carrier carries no periodic sync broadcast at all – the UE uses timing from the anchor and only receives a synchronization burst on the SCell when it’s explicitly activated. </w:t>
      </w:r>
    </w:p>
    <w:p w14:paraId="21041A71">
      <w:pPr>
        <w:pStyle w:val="5"/>
        <w:rPr>
          <w:lang w:eastAsia="zh-CN"/>
        </w:rPr>
      </w:pPr>
      <w:r>
        <w:rPr>
          <w:lang w:eastAsia="zh-CN"/>
        </w:rPr>
        <w:t>Beyond on-demand activation, specialized carrier roles can further save energy.</w:t>
      </w:r>
      <w:r>
        <w:rPr>
          <w:rFonts w:hint="eastAsia"/>
          <w:lang w:eastAsia="zh-CN"/>
        </w:rPr>
        <w:t>It</w:t>
      </w:r>
      <w:r>
        <w:rPr>
          <w:lang w:eastAsia="zh-CN"/>
        </w:rPr>
        <w:t xml:space="preserve"> might include UL-only or DL-only cells, where a cell is dedicated to uplink or downlink respectively. For instance, an UL-only TRP (transmit/receive point) would not broadcast any downlink signals, instead only receiving uplink data from devices – this could save power on the network side by turning off downlink RF chains, and also potentially reduce UE transmit power by positioning UL-only receivers closer to devices. Likewise, a DL-only cell could carry downlink traffic (e.g. a high-band millimeter wave downlink) while relying on a different low-power uplink channel for acknowledgments, avoiding continuous uplink sensing by UEs on that band. These asymmetric cell configurations reflect the flexibility of 6G’s multi-carrier architecture: the network could dynamically allocate carriers as uplink-only, downlink-only, or full duplex based on traffic needs, minimizing any unnecessary transmitters being kept on.</w:t>
      </w:r>
    </w:p>
    <w:p w14:paraId="4A66E949">
      <w:pPr>
        <w:pStyle w:val="5"/>
        <w:rPr>
          <w:lang w:eastAsia="zh-CN"/>
        </w:rPr>
      </w:pPr>
      <w:r>
        <w:rPr>
          <w:lang w:eastAsia="zh-CN"/>
        </w:rPr>
        <w:t xml:space="preserve">Efficient multi-carrier operation also requires an overall coordination procedure. The network must manage which carriers are active across the cell and how they interact with mechanisms like DRX (Discontinuous Reception) and cell DTX (Discontinuous Transmission). For example, when the anchor cell enters a micro-sleep (cell DTX) due to no traffic, all secondary carriers should obviously remain off as well. Conversely, when a device in DRX mode awakens (or triggers a wake-up signal) indicating impending data, the scheduler can decide whether the anchor alone suffices or an SCell should be woken to serve the data burst. Another challenge is inter-carrier synchronization: ensuring a UE can quickly attain timing/frequency sync on a secondary carrier without extensive search. Solutions could leverage cross-carrier signals or assistance from the anchor (since the UE is already synchronized to the anchor). </w:t>
      </w:r>
    </w:p>
    <w:p w14:paraId="751FED03">
      <w:pPr>
        <w:rPr>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29</w:t>
      </w:r>
      <w:r>
        <w:rPr>
          <w:rFonts w:ascii="Times New Roman Bold Italic" w:hAnsi="Times New Roman Bold Italic" w:cs="Times New Roman Bold Italic"/>
          <w:b/>
          <w:bCs/>
          <w:i/>
          <w:iCs/>
          <w:lang w:eastAsia="zh-CN"/>
        </w:rPr>
        <w:t>: 6G requires rapid activation and dormancy of secondary carriers, support for uplink-/downlink-only cells, and coordination with DRX/DTX to enable efficient multi-carrier energy savings.</w:t>
      </w:r>
    </w:p>
    <w:p w14:paraId="1A4998A9">
      <w:pPr>
        <w:pStyle w:val="4"/>
        <w:rPr>
          <w:lang w:eastAsia="zh-CN"/>
        </w:rPr>
      </w:pPr>
      <w:r>
        <w:rPr>
          <w:rFonts w:hint="eastAsia"/>
          <w:lang w:eastAsia="zh-CN"/>
        </w:rPr>
        <w:t>Multi</w:t>
      </w:r>
      <w:r>
        <w:rPr>
          <w:lang w:eastAsia="zh-CN"/>
        </w:rPr>
        <w:t>-Antennas/TRPs on/off</w:t>
      </w:r>
      <w:r>
        <w:rPr>
          <w:rFonts w:hint="eastAsia"/>
          <w:lang w:eastAsia="zh-CN"/>
        </w:rPr>
        <w:t xml:space="preserve"> </w:t>
      </w:r>
    </w:p>
    <w:p w14:paraId="11410E1C">
      <w:pPr>
        <w:rPr>
          <w:lang w:eastAsia="zh-CN"/>
        </w:rPr>
      </w:pPr>
      <w:r>
        <w:rPr>
          <w:lang w:eastAsia="zh-CN"/>
        </w:rPr>
        <w:t>The core principle behind spatial scalability is adapt</w:t>
      </w:r>
      <w:r>
        <w:rPr>
          <w:rFonts w:hint="eastAsia"/>
          <w:lang w:eastAsia="zh-CN"/>
        </w:rPr>
        <w:t>ing</w:t>
      </w:r>
      <w:r>
        <w:rPr>
          <w:lang w:eastAsia="zh-CN"/>
        </w:rPr>
        <w:t xml:space="preserve"> the number of active antennas, panels, beams </w:t>
      </w:r>
      <w:r>
        <w:rPr>
          <w:rFonts w:hint="eastAsia"/>
          <w:lang w:eastAsia="zh-CN"/>
        </w:rPr>
        <w:t>or</w:t>
      </w:r>
      <w:r>
        <w:rPr>
          <w:lang w:eastAsia="zh-CN"/>
        </w:rPr>
        <w:t xml:space="preserve"> TRPs </w:t>
      </w:r>
      <w:r>
        <w:rPr>
          <w:rFonts w:hint="eastAsia"/>
          <w:lang w:eastAsia="zh-CN"/>
        </w:rPr>
        <w:t>by on-demand manner.</w:t>
      </w:r>
    </w:p>
    <w:p w14:paraId="07C6FCB3">
      <w:pPr>
        <w:rPr>
          <w:lang w:eastAsia="zh-CN"/>
        </w:rPr>
      </w:pPr>
      <w:r>
        <w:rPr>
          <w:rFonts w:hint="eastAsia"/>
          <w:lang w:eastAsia="zh-CN"/>
        </w:rPr>
        <w:t>From UE</w:t>
      </w:r>
      <w:r>
        <w:rPr>
          <w:lang w:eastAsia="zh-CN"/>
        </w:rPr>
        <w:t>’</w:t>
      </w:r>
      <w:r>
        <w:rPr>
          <w:rFonts w:hint="eastAsia"/>
          <w:lang w:eastAsia="zh-CN"/>
        </w:rPr>
        <w:t>s perspective, s</w:t>
      </w:r>
      <w:r>
        <w:rPr>
          <w:lang w:eastAsia="zh-CN"/>
        </w:rPr>
        <w:t>patial scalability means switch</w:t>
      </w:r>
      <w:r>
        <w:rPr>
          <w:rFonts w:hint="eastAsia"/>
          <w:lang w:eastAsia="zh-CN"/>
        </w:rPr>
        <w:t>ing</w:t>
      </w:r>
      <w:r>
        <w:rPr>
          <w:lang w:eastAsia="zh-CN"/>
        </w:rPr>
        <w:t xml:space="preserve"> on </w:t>
      </w:r>
      <w:r>
        <w:rPr>
          <w:rFonts w:hint="eastAsia"/>
          <w:lang w:eastAsia="zh-CN"/>
        </w:rPr>
        <w:t xml:space="preserve">more </w:t>
      </w:r>
      <w:r>
        <w:rPr>
          <w:lang w:eastAsia="zh-CN"/>
        </w:rPr>
        <w:t>panel</w:t>
      </w:r>
      <w:r>
        <w:rPr>
          <w:rFonts w:hint="eastAsia"/>
          <w:lang w:eastAsia="zh-CN"/>
        </w:rPr>
        <w:t>(</w:t>
      </w:r>
      <w:r>
        <w:rPr>
          <w:lang w:eastAsia="zh-CN"/>
        </w:rPr>
        <w:t>s</w:t>
      </w:r>
      <w:r>
        <w:rPr>
          <w:rFonts w:hint="eastAsia"/>
          <w:lang w:eastAsia="zh-CN"/>
        </w:rPr>
        <w:t>)/</w:t>
      </w:r>
      <w:r>
        <w:rPr>
          <w:lang w:eastAsia="zh-CN"/>
        </w:rPr>
        <w:t>antenna</w:t>
      </w:r>
      <w:r>
        <w:rPr>
          <w:rFonts w:hint="eastAsia"/>
          <w:lang w:eastAsia="zh-CN"/>
        </w:rPr>
        <w:t xml:space="preserve">(s) </w:t>
      </w:r>
      <w:r>
        <w:rPr>
          <w:lang w:eastAsia="zh-CN"/>
        </w:rPr>
        <w:t>only when needed</w:t>
      </w:r>
      <w:r>
        <w:rPr>
          <w:rFonts w:hint="eastAsia"/>
          <w:lang w:eastAsia="zh-CN"/>
        </w:rPr>
        <w:t xml:space="preserve">, otherwise, </w:t>
      </w:r>
      <w:r>
        <w:rPr>
          <w:lang w:eastAsia="zh-CN"/>
        </w:rPr>
        <w:t xml:space="preserve">selecting </w:t>
      </w:r>
      <w:r>
        <w:rPr>
          <w:rFonts w:hint="eastAsia"/>
          <w:lang w:eastAsia="zh-CN"/>
        </w:rPr>
        <w:t xml:space="preserve">less </w:t>
      </w:r>
      <w:r>
        <w:rPr>
          <w:lang w:eastAsia="zh-CN"/>
        </w:rPr>
        <w:t>panel</w:t>
      </w:r>
      <w:r>
        <w:rPr>
          <w:rFonts w:hint="eastAsia"/>
          <w:lang w:eastAsia="zh-CN"/>
        </w:rPr>
        <w:t>(</w:t>
      </w:r>
      <w:r>
        <w:rPr>
          <w:lang w:eastAsia="zh-CN"/>
        </w:rPr>
        <w:t>s</w:t>
      </w:r>
      <w:r>
        <w:rPr>
          <w:rFonts w:hint="eastAsia"/>
          <w:lang w:eastAsia="zh-CN"/>
        </w:rPr>
        <w:t>)/</w:t>
      </w:r>
      <w:r>
        <w:rPr>
          <w:lang w:eastAsia="zh-CN"/>
        </w:rPr>
        <w:t>antenna</w:t>
      </w:r>
      <w:r>
        <w:rPr>
          <w:rFonts w:hint="eastAsia"/>
          <w:lang w:eastAsia="zh-CN"/>
        </w:rPr>
        <w:t>(s)</w:t>
      </w:r>
      <w:r>
        <w:rPr>
          <w:lang w:eastAsia="zh-CN"/>
        </w:rPr>
        <w:t xml:space="preserve"> and keeping the rest </w:t>
      </w:r>
      <w:r>
        <w:rPr>
          <w:rFonts w:hint="eastAsia"/>
          <w:lang w:eastAsia="zh-CN"/>
        </w:rPr>
        <w:t>turn off</w:t>
      </w:r>
      <w:r>
        <w:rPr>
          <w:lang w:eastAsia="zh-CN"/>
        </w:rPr>
        <w:t>.</w:t>
      </w:r>
      <w:r>
        <w:rPr>
          <w:rFonts w:hint="eastAsia"/>
          <w:lang w:eastAsia="zh-CN"/>
        </w:rPr>
        <w:t xml:space="preserve"> A</w:t>
      </w:r>
      <w:r>
        <w:rPr>
          <w:lang w:eastAsia="zh-CN"/>
        </w:rPr>
        <w:t>ctivating fewer panels</w:t>
      </w:r>
      <w:r>
        <w:rPr>
          <w:rFonts w:hint="eastAsia"/>
          <w:lang w:eastAsia="zh-CN"/>
        </w:rPr>
        <w:t>/</w:t>
      </w:r>
      <w:r>
        <w:rPr>
          <w:lang w:eastAsia="zh-CN"/>
        </w:rPr>
        <w:t>antennas when channel permits reduce front</w:t>
      </w:r>
      <w:r>
        <w:rPr>
          <w:lang w:eastAsia="zh-CN"/>
        </w:rPr>
        <w:noBreakHyphen/>
      </w:r>
      <w:r>
        <w:rPr>
          <w:lang w:eastAsia="zh-CN"/>
        </w:rPr>
        <w:t>end and baseband power.</w:t>
      </w:r>
      <w:r>
        <w:rPr>
          <w:rFonts w:hint="eastAsia"/>
          <w:lang w:eastAsia="zh-CN"/>
        </w:rPr>
        <w:t xml:space="preserve"> To improve the energy </w:t>
      </w:r>
      <w:r>
        <w:rPr>
          <w:lang w:eastAsia="zh-CN"/>
        </w:rPr>
        <w:t>efficiency</w:t>
      </w:r>
      <w:r>
        <w:rPr>
          <w:rFonts w:hint="eastAsia"/>
          <w:lang w:eastAsia="zh-CN"/>
        </w:rPr>
        <w:t>, the rule can be considered, i.e., s</w:t>
      </w:r>
      <w:r>
        <w:rPr>
          <w:lang w:eastAsia="zh-CN"/>
        </w:rPr>
        <w:t>cale Rx chains and beams with SNR and QoS</w:t>
      </w:r>
      <w:r>
        <w:rPr>
          <w:rFonts w:hint="eastAsia"/>
          <w:lang w:eastAsia="zh-CN"/>
        </w:rPr>
        <w:t>,</w:t>
      </w:r>
      <w:r>
        <w:rPr>
          <w:lang w:eastAsia="zh-CN"/>
        </w:rPr>
        <w:t xml:space="preserve"> </w:t>
      </w:r>
      <w:r>
        <w:rPr>
          <w:rFonts w:hint="eastAsia"/>
          <w:lang w:eastAsia="zh-CN"/>
        </w:rPr>
        <w:t>e.g., p</w:t>
      </w:r>
      <w:r>
        <w:rPr>
          <w:lang w:eastAsia="zh-CN"/>
        </w:rPr>
        <w:t>refer single‑panel</w:t>
      </w:r>
      <w:r>
        <w:rPr>
          <w:rFonts w:hint="eastAsia"/>
          <w:lang w:eastAsia="zh-CN"/>
        </w:rPr>
        <w:t>/antenna</w:t>
      </w:r>
      <w:r>
        <w:rPr>
          <w:lang w:eastAsia="zh-CN"/>
        </w:rPr>
        <w:t xml:space="preserve"> operation in </w:t>
      </w:r>
      <w:r>
        <w:rPr>
          <w:rFonts w:hint="eastAsia"/>
          <w:lang w:eastAsia="zh-CN"/>
        </w:rPr>
        <w:t>power saving</w:t>
      </w:r>
      <w:r>
        <w:rPr>
          <w:lang w:eastAsia="zh-CN"/>
        </w:rPr>
        <w:t xml:space="preserve"> state</w:t>
      </w:r>
      <w:r>
        <w:rPr>
          <w:rFonts w:hint="eastAsia"/>
          <w:lang w:eastAsia="zh-CN"/>
        </w:rPr>
        <w:t>, and</w:t>
      </w:r>
      <w:r>
        <w:rPr>
          <w:lang w:eastAsia="zh-CN"/>
        </w:rPr>
        <w:t xml:space="preserve"> activate additional panels</w:t>
      </w:r>
      <w:r>
        <w:rPr>
          <w:rFonts w:hint="eastAsia"/>
          <w:lang w:eastAsia="zh-CN"/>
        </w:rPr>
        <w:t>/antennas</w:t>
      </w:r>
      <w:r>
        <w:rPr>
          <w:lang w:eastAsia="zh-CN"/>
        </w:rPr>
        <w:t xml:space="preserve"> only </w:t>
      </w:r>
      <w:r>
        <w:rPr>
          <w:rFonts w:hint="eastAsia"/>
          <w:lang w:eastAsia="zh-CN"/>
        </w:rPr>
        <w:t>when channel quality state is needed.</w:t>
      </w:r>
    </w:p>
    <w:p w14:paraId="77D91F2A">
      <w:pPr>
        <w:rPr>
          <w:lang w:eastAsia="zh-CN"/>
        </w:rPr>
      </w:pPr>
      <w:r>
        <w:rPr>
          <w:rFonts w:hint="eastAsia"/>
          <w:lang w:eastAsia="zh-CN"/>
        </w:rPr>
        <w:t>From network</w:t>
      </w:r>
      <w:r>
        <w:rPr>
          <w:lang w:eastAsia="zh-CN"/>
        </w:rPr>
        <w:t>’</w:t>
      </w:r>
      <w:r>
        <w:rPr>
          <w:rFonts w:hint="eastAsia"/>
          <w:lang w:eastAsia="zh-CN"/>
        </w:rPr>
        <w:t xml:space="preserve">s perspective, </w:t>
      </w:r>
      <w:r>
        <w:rPr>
          <w:lang w:eastAsia="zh-CN"/>
        </w:rPr>
        <w:t xml:space="preserve">NES introduced a CSI framework </w:t>
      </w:r>
      <w:r>
        <w:rPr>
          <w:rFonts w:hint="eastAsia"/>
          <w:lang w:eastAsia="zh-CN"/>
        </w:rPr>
        <w:t xml:space="preserve">to support </w:t>
      </w:r>
      <w:r>
        <w:rPr>
          <w:lang w:eastAsia="zh-CN"/>
        </w:rPr>
        <w:t>spatial</w:t>
      </w:r>
      <w:r>
        <w:rPr>
          <w:lang w:eastAsia="zh-CN"/>
        </w:rPr>
        <w:noBreakHyphen/>
      </w:r>
      <w:r>
        <w:rPr>
          <w:lang w:eastAsia="zh-CN"/>
        </w:rPr>
        <w:t>domain (SD) adaptation</w:t>
      </w:r>
      <w:r>
        <w:rPr>
          <w:rFonts w:hint="eastAsia"/>
          <w:lang w:eastAsia="zh-CN"/>
        </w:rPr>
        <w:t xml:space="preserve">. </w:t>
      </w:r>
      <w:r>
        <w:rPr>
          <w:lang w:eastAsia="zh-CN"/>
        </w:rPr>
        <w:t>B</w:t>
      </w:r>
      <w:r>
        <w:rPr>
          <w:rFonts w:hint="eastAsia"/>
          <w:lang w:eastAsia="zh-CN"/>
        </w:rPr>
        <w:t xml:space="preserve">y </w:t>
      </w:r>
      <w:r>
        <w:rPr>
          <w:lang w:eastAsia="zh-CN"/>
        </w:rPr>
        <w:t>spatial</w:t>
      </w:r>
      <w:r>
        <w:rPr>
          <w:lang w:eastAsia="zh-CN"/>
        </w:rPr>
        <w:noBreakHyphen/>
      </w:r>
      <w:r>
        <w:rPr>
          <w:lang w:eastAsia="zh-CN"/>
        </w:rPr>
        <w:t>domain adaptation</w:t>
      </w:r>
      <w:r>
        <w:rPr>
          <w:rFonts w:hint="eastAsia"/>
          <w:lang w:eastAsia="zh-CN"/>
        </w:rPr>
        <w:t xml:space="preserve">, </w:t>
      </w:r>
      <w:r>
        <w:rPr>
          <w:lang w:eastAsia="zh-CN"/>
        </w:rPr>
        <w:t>reduc</w:t>
      </w:r>
      <w:r>
        <w:rPr>
          <w:rFonts w:hint="eastAsia"/>
          <w:lang w:eastAsia="zh-CN"/>
        </w:rPr>
        <w:t>ing</w:t>
      </w:r>
      <w:r>
        <w:rPr>
          <w:lang w:eastAsia="zh-CN"/>
        </w:rPr>
        <w:t xml:space="preserve"> the number of antenna ports</w:t>
      </w:r>
      <w:r>
        <w:rPr>
          <w:rFonts w:hint="eastAsia"/>
          <w:lang w:eastAsia="zh-CN"/>
        </w:rPr>
        <w:t xml:space="preserve"> and </w:t>
      </w:r>
      <w:r>
        <w:rPr>
          <w:lang w:eastAsia="zh-CN"/>
        </w:rPr>
        <w:t>reduc</w:t>
      </w:r>
      <w:r>
        <w:rPr>
          <w:rFonts w:hint="eastAsia"/>
          <w:lang w:eastAsia="zh-CN"/>
        </w:rPr>
        <w:t>ing</w:t>
      </w:r>
      <w:r>
        <w:rPr>
          <w:lang w:eastAsia="zh-CN"/>
        </w:rPr>
        <w:t xml:space="preserve"> the number of antenna elements per port</w:t>
      </w:r>
      <w:r>
        <w:rPr>
          <w:rFonts w:hint="eastAsia"/>
          <w:lang w:eastAsia="zh-CN"/>
        </w:rPr>
        <w:t xml:space="preserve"> are considered. </w:t>
      </w:r>
      <w:r>
        <w:rPr>
          <w:lang w:eastAsia="zh-CN"/>
        </w:rPr>
        <w:t>UE</w:t>
      </w:r>
      <w:r>
        <w:rPr>
          <w:lang w:eastAsia="zh-CN"/>
        </w:rPr>
        <w:noBreakHyphen/>
      </w:r>
      <w:r>
        <w:rPr>
          <w:lang w:eastAsia="zh-CN"/>
        </w:rPr>
        <w:t>assisted CSI sub</w:t>
      </w:r>
      <w:r>
        <w:rPr>
          <w:lang w:eastAsia="zh-CN"/>
        </w:rPr>
        <w:noBreakHyphen/>
      </w:r>
      <w:r>
        <w:rPr>
          <w:lang w:eastAsia="zh-CN"/>
        </w:rPr>
        <w:t>reports are designed</w:t>
      </w:r>
      <w:r>
        <w:rPr>
          <w:rFonts w:hint="eastAsia"/>
          <w:lang w:eastAsia="zh-CN"/>
        </w:rPr>
        <w:t xml:space="preserve"> to support </w:t>
      </w:r>
      <w:r>
        <w:rPr>
          <w:lang w:eastAsia="zh-CN"/>
        </w:rPr>
        <w:t>scale arrays down</w:t>
      </w:r>
      <w:r>
        <w:rPr>
          <w:rFonts w:hint="eastAsia"/>
          <w:lang w:eastAsia="zh-CN"/>
        </w:rPr>
        <w:t xml:space="preserve">. </w:t>
      </w:r>
      <w:r>
        <w:rPr>
          <w:lang w:eastAsia="zh-CN"/>
        </w:rPr>
        <w:t>In parallel, Rel‑19 look</w:t>
      </w:r>
      <w:r>
        <w:rPr>
          <w:rFonts w:hint="eastAsia"/>
          <w:lang w:eastAsia="zh-CN"/>
        </w:rPr>
        <w:t>s</w:t>
      </w:r>
      <w:r>
        <w:rPr>
          <w:lang w:eastAsia="zh-CN"/>
        </w:rPr>
        <w:t xml:space="preserve"> at adapting PRACH/SSB in the spatial domain, reducing “always‑on” beam overhead in sparse traffic.</w:t>
      </w:r>
      <w:r>
        <w:rPr>
          <w:rFonts w:hint="eastAsia"/>
          <w:lang w:eastAsia="zh-CN"/>
        </w:rPr>
        <w:t xml:space="preserve"> </w:t>
      </w:r>
      <w:r>
        <w:rPr>
          <w:lang w:eastAsia="zh-CN"/>
        </w:rPr>
        <w:t xml:space="preserve">Both mechanisms avoid </w:t>
      </w:r>
      <w:r>
        <w:rPr>
          <w:rFonts w:hint="eastAsia"/>
          <w:lang w:eastAsia="zh-CN"/>
        </w:rPr>
        <w:t>turn on all</w:t>
      </w:r>
      <w:r>
        <w:rPr>
          <w:lang w:eastAsia="zh-CN"/>
        </w:rPr>
        <w:t xml:space="preserve"> antennas</w:t>
      </w:r>
      <w:r>
        <w:rPr>
          <w:rFonts w:hint="eastAsia"/>
          <w:lang w:eastAsia="zh-CN"/>
        </w:rPr>
        <w:t xml:space="preserve"> </w:t>
      </w:r>
      <w:r>
        <w:rPr>
          <w:lang w:eastAsia="zh-CN"/>
        </w:rPr>
        <w:t>when only a subset is</w:t>
      </w:r>
      <w:r>
        <w:rPr>
          <w:rFonts w:hint="eastAsia"/>
          <w:lang w:eastAsia="zh-CN"/>
        </w:rPr>
        <w:t xml:space="preserve"> sufficient</w:t>
      </w:r>
      <w:r>
        <w:rPr>
          <w:lang w:eastAsia="zh-CN"/>
        </w:rPr>
        <w:t>.</w:t>
      </w:r>
      <w:r>
        <w:rPr>
          <w:rFonts w:hint="eastAsia"/>
          <w:lang w:eastAsia="zh-CN"/>
        </w:rPr>
        <w:t xml:space="preserve"> </w:t>
      </w:r>
      <w:r>
        <w:rPr>
          <w:lang w:eastAsia="zh-CN"/>
        </w:rPr>
        <w:t>Additionally</w:t>
      </w:r>
      <w:r>
        <w:rPr>
          <w:rFonts w:hint="eastAsia"/>
          <w:lang w:eastAsia="zh-CN"/>
        </w:rPr>
        <w:t xml:space="preserve">, </w:t>
      </w:r>
      <w:r>
        <w:rPr>
          <w:lang w:eastAsia="zh-CN"/>
        </w:rPr>
        <w:t>TRP muting for multi</w:t>
      </w:r>
      <w:r>
        <w:rPr>
          <w:lang w:eastAsia="zh-CN"/>
        </w:rPr>
        <w:noBreakHyphen/>
      </w:r>
      <w:r>
        <w:rPr>
          <w:lang w:eastAsia="zh-CN"/>
        </w:rPr>
        <w:t>TRP operation</w:t>
      </w:r>
      <w:r>
        <w:rPr>
          <w:rFonts w:hint="eastAsia"/>
          <w:lang w:eastAsia="zh-CN"/>
        </w:rPr>
        <w:t xml:space="preserve"> is also a technique to improve energy efficiency. </w:t>
      </w:r>
    </w:p>
    <w:p w14:paraId="5F8D7AAD">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30</w:t>
      </w:r>
      <w:r>
        <w:rPr>
          <w:rFonts w:hint="default" w:ascii="Times New Roman Bold Italic" w:hAnsi="Times New Roman Bold Italic" w:cs="Times New Roman Bold Italic"/>
          <w:b/>
          <w:bCs/>
          <w:i/>
          <w:iCs/>
          <w:lang w:eastAsia="zh-CN"/>
        </w:rPr>
        <w:t>: Energy improvement in spatial domain would be achieved by fewer active panels/Rx chains and fewer active beams on the UE and fewer ports/elements, muted TxRUs, fewer beams, and muted TRPs on the base station.</w:t>
      </w:r>
    </w:p>
    <w:p w14:paraId="1FA4B559">
      <w:pPr>
        <w:rPr>
          <w:lang w:eastAsia="zh-CN"/>
        </w:rPr>
      </w:pPr>
    </w:p>
    <w:p w14:paraId="7ACB1D3D">
      <w:pPr>
        <w:pStyle w:val="3"/>
        <w:rPr>
          <w:lang w:eastAsia="zh-CN"/>
        </w:rPr>
      </w:pPr>
      <w:r>
        <w:rPr>
          <w:lang w:eastAsia="zh-CN"/>
        </w:rPr>
        <w:t xml:space="preserve"> UE level related 6GR</w:t>
      </w:r>
      <w:r>
        <w:rPr>
          <w:rFonts w:hint="eastAsia"/>
          <w:lang w:eastAsia="zh-CN"/>
        </w:rPr>
        <w:t xml:space="preserve"> </w:t>
      </w:r>
      <w:r>
        <w:rPr>
          <w:lang w:eastAsia="zh-CN"/>
        </w:rPr>
        <w:t xml:space="preserve">EE  technologies </w:t>
      </w:r>
    </w:p>
    <w:p w14:paraId="6F7D6B8D">
      <w:pPr>
        <w:pStyle w:val="4"/>
        <w:rPr>
          <w:lang w:eastAsia="zh-CN"/>
        </w:rPr>
      </w:pPr>
      <w:r>
        <w:rPr>
          <w:lang w:eastAsia="zh-CN"/>
        </w:rPr>
        <w:t>Downlink signal monitoring enhancements</w:t>
      </w:r>
    </w:p>
    <w:p w14:paraId="0E5BB766">
      <w:pPr>
        <w:pStyle w:val="6"/>
        <w:ind w:left="864" w:hanging="864"/>
        <w:rPr>
          <w:lang w:eastAsia="zh-CN"/>
        </w:rPr>
      </w:pPr>
      <w:r>
        <w:rPr>
          <w:lang w:eastAsia="zh-CN"/>
        </w:rPr>
        <w:t>PDCCH monitoring</w:t>
      </w:r>
    </w:p>
    <w:p w14:paraId="0D981981">
      <w:pPr>
        <w:rPr>
          <w:lang w:eastAsia="zh-CN"/>
        </w:rPr>
      </w:pPr>
      <w:r>
        <w:rPr>
          <w:lang w:eastAsia="zh-CN"/>
        </w:rPr>
        <w:t xml:space="preserve">PDCCH monitoring reduction is vital for UE energy saving. In 5G, UEs often monitor PDCCH in every slot or multiple times per frame, which is power-expensive. Smarter PDCCH scheduling such as: only waking the UE’s PDCCH receiver when there is likely to be a grant (perhaps indicated by a short paging-like signal), or PDCCH skipping where the network guarantees no DL control in certain frames so UEs can sleep in RAN1 companies’ Tdoc in lasting meeting, ideas like restricting the CORESET and using “search space set switching” (as in NR SSS/CORESET sets) are raised to minimize how long UEs have to stay alert for control. The scheduler plays a role by possibly scheduling multiple data transmissions under one control instance (one PDCCH may grant a burst of several packets or a longer transmission duration). Additionally, if the network has no data for a UE, it could omit sending any PDCCH (whereas today a UE still has to monitor to be sure). </w:t>
      </w:r>
    </w:p>
    <w:p w14:paraId="008897E2">
      <w:pPr>
        <w:rPr>
          <w:lang w:eastAsia="zh-CN"/>
        </w:rPr>
      </w:pPr>
      <w:r>
        <w:rPr>
          <w:lang w:eastAsia="zh-CN"/>
        </w:rPr>
        <w:t xml:space="preserve">Another aspect is decoupling RF and baseband activity during scheduling. For instance, when no data is scheduled, parts of the transceiver chain (like high-power RF amplifiers) can be shut off, while baseband might still decode minimal information (or vice versa). Scheduling strategies that cluster activity allow this decoupling – e.g. the RF front-end can entirely power down in an “off” slot if no transmission for any UE is scheduled, rather than toggling rapidly every slot. </w:t>
      </w:r>
    </w:p>
    <w:p w14:paraId="45FBCBAE">
      <w:pPr>
        <w:rPr>
          <w:lang w:eastAsia="zh-CN"/>
        </w:rPr>
      </w:pPr>
      <w:r>
        <w:rPr>
          <w:lang w:eastAsia="zh-CN"/>
        </w:rPr>
        <w:t>Moreover, avoiding “late changes” to uplink grants is highlighted. If the network schedules an uplink and then cancels or reschedules it last-minute, the UE may have already ramped up its transmitter and clock circuits, wasting energy. Thus, an energy-aware scheduler is predictable and stable: it doesn’t frequently revoke grants or ask UEs to re-tune at the last second.</w:t>
      </w:r>
    </w:p>
    <w:p w14:paraId="2A7A5AD3">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31</w:t>
      </w:r>
      <w:r>
        <w:rPr>
          <w:rFonts w:ascii="Times New Roman Bold Italic" w:hAnsi="Times New Roman Bold Italic" w:cs="Times New Roman Bold Italic"/>
          <w:b/>
          <w:bCs/>
          <w:i/>
          <w:iCs/>
          <w:lang w:eastAsia="zh-CN"/>
        </w:rPr>
        <w:t>: Some schemes for PDCCH monitoring have been proposed in companies in last meeting: e.g., smarter PDCCH scheduling, skipping,</w:t>
      </w:r>
      <w:r>
        <w:rPr>
          <w:lang w:eastAsia="zh-CN"/>
        </w:rPr>
        <w:t xml:space="preserve"> </w:t>
      </w:r>
      <w:r>
        <w:rPr>
          <w:rFonts w:ascii="Times New Roman Bold Italic" w:hAnsi="Times New Roman Bold Italic" w:cs="Times New Roman Bold Italic"/>
          <w:b/>
          <w:bCs/>
          <w:i/>
          <w:iCs/>
          <w:lang w:eastAsia="zh-CN"/>
        </w:rPr>
        <w:t>and predictable grants reduce unnecessary monitoring, decouple RF/baseband activity, and avoid late uplink changes, thereby improving UE energy efficiency.</w:t>
      </w:r>
    </w:p>
    <w:p w14:paraId="205B4D65">
      <w:pPr>
        <w:rPr>
          <w:lang w:eastAsia="zh-CN"/>
        </w:rPr>
      </w:pPr>
    </w:p>
    <w:p w14:paraId="7D21183A">
      <w:pPr>
        <w:pStyle w:val="6"/>
        <w:ind w:left="864" w:hanging="864"/>
        <w:rPr>
          <w:lang w:eastAsia="zh-CN"/>
        </w:rPr>
      </w:pPr>
      <w:r>
        <w:rPr>
          <w:lang w:eastAsia="zh-CN"/>
        </w:rPr>
        <w:t>DRX enhancements based on RRC states and UE capabilities</w:t>
      </w:r>
    </w:p>
    <w:p w14:paraId="56B96DF2">
      <w:pPr>
        <w:pStyle w:val="25"/>
        <w:jc w:val="both"/>
      </w:pPr>
      <w:r>
        <w:t xml:space="preserve">Energy efficiency in 6G requires DRX to evolve beyond the relatively rigid implementations used in LTE and NR. While current systems apply DRX primarily in RRC_CONNECTED, with more limited flexibility in RRC_INACTIVE and long cycles in PSM, future networks will need a more </w:t>
      </w:r>
      <w:r>
        <w:rPr>
          <w:rStyle w:val="30"/>
          <w:b w:val="0"/>
        </w:rPr>
        <w:t>state-aware and capability-driven design</w:t>
      </w:r>
      <w:r>
        <w:t xml:space="preserve"> that adapts intelligently to UE context.</w:t>
      </w:r>
    </w:p>
    <w:p w14:paraId="0BBCD20A">
      <w:pPr>
        <w:pStyle w:val="25"/>
        <w:jc w:val="both"/>
      </w:pPr>
      <w:r>
        <w:t xml:space="preserve">First, </w:t>
      </w:r>
      <w:r>
        <w:rPr>
          <w:rStyle w:val="30"/>
          <w:b w:val="0"/>
        </w:rPr>
        <w:t>state differentiation</w:t>
      </w:r>
      <w:r>
        <w:t xml:space="preserve"> should be explicit. For RRC_CONNECTED, DRX must provide fine-grained cycles and micro-DRX options that reduce monitoring overhead without harming latency-sensitive services. In RRC_INACTIVE, DRX should be tightly integrated with paging and wake-up signals, allowing UEs to skip unnecessary monitoring while still resuming data reception quickly. For NAS-level PSM, continuity with RRC-based DRX is essential: when resuming from deep sleep, the UE should enter a pre-agreed DRX profile rather than requiring full reconfiguration. This cross-state alignment reduces signaling cost and accelerates transitions.</w:t>
      </w:r>
    </w:p>
    <w:p w14:paraId="74AACE2F">
      <w:pPr>
        <w:pStyle w:val="25"/>
        <w:jc w:val="both"/>
      </w:pPr>
      <w:r>
        <w:t xml:space="preserve">Second, </w:t>
      </w:r>
      <w:r>
        <w:rPr>
          <w:rStyle w:val="30"/>
          <w:b w:val="0"/>
        </w:rPr>
        <w:t>UE capability awareness</w:t>
      </w:r>
      <w:r>
        <w:t xml:space="preserve"> is key. Different UEs will support varying DRX cycle ranges, oscillator wake-up times, and multi-carrier monitoring abilities. A low-power IoT device may prefer long I-DRX or PSM timers, while a high-performance handset may tolerate short cycles for URLLC traffic. Thus, networks should rely on </w:t>
      </w:r>
      <w:r>
        <w:rPr>
          <w:rStyle w:val="30"/>
          <w:b w:val="0"/>
        </w:rPr>
        <w:t>UE Assistance Information (UAI)</w:t>
      </w:r>
      <w:r>
        <w:t xml:space="preserve"> to receive DRX preference vectors, including supported short/long cycles, OnDuration flexibility, Inactivity Timer ranges, and tolerable paging offsets. Based on these preferences, the network can assign DRX profiles that balance energy saving with QoS.</w:t>
      </w:r>
    </w:p>
    <w:p w14:paraId="2187119C">
      <w:pPr>
        <w:pStyle w:val="25"/>
        <w:jc w:val="both"/>
      </w:pPr>
      <w:r>
        <w:t xml:space="preserve">Finally, DRX enhancements must coordinate with </w:t>
      </w:r>
      <w:r>
        <w:rPr>
          <w:rStyle w:val="30"/>
          <w:b w:val="0"/>
        </w:rPr>
        <w:t>other energy-saving mechanisms</w:t>
      </w:r>
      <w:r>
        <w:t xml:space="preserve"> such as cell DTX, carrier dormancy, and scheduler stability. When the anchor enters micro-sleep, secondary carriers should remain off; conversely, when the UE indicates upcoming traffic through UAI, the scheduler should activate suitable DRX parameters or carriers in advance. Avoiding last-minute UL grant changes is also essential, ensuring UEs do not waste power ramping transmit chains unnecessarily.</w:t>
      </w:r>
    </w:p>
    <w:p w14:paraId="2D5B8ECF">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32</w:t>
      </w:r>
      <w:r>
        <w:rPr>
          <w:rFonts w:ascii="Times New Roman Bold Italic" w:hAnsi="Times New Roman Bold Italic" w:cs="Times New Roman Bold Italic"/>
          <w:b/>
          <w:bCs/>
          <w:i/>
          <w:iCs/>
          <w:lang w:eastAsia="zh-CN"/>
        </w:rPr>
        <w:t>: 6G DRX should not be a single mechanism but a state-specific, capability-aware, and coordination-ready framework, delivering predictable energy savings while preserving responsiveness across diverse devices and services</w:t>
      </w:r>
    </w:p>
    <w:p w14:paraId="18252026">
      <w:pPr>
        <w:rPr>
          <w:rFonts w:ascii="Times New Roman Bold Italic" w:hAnsi="Times New Roman Bold Italic" w:cs="Times New Roman Bold Italic"/>
          <w:b/>
          <w:bCs/>
          <w:i/>
          <w:iCs/>
          <w:lang w:eastAsia="zh-CN"/>
        </w:rPr>
      </w:pPr>
    </w:p>
    <w:p w14:paraId="14046560">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15</w:t>
      </w:r>
      <w:r>
        <w:rPr>
          <w:rFonts w:ascii="Times New Roman Bold Italic" w:hAnsi="Times New Roman Bold Italic" w:cs="Times New Roman Bold Italic"/>
          <w:b/>
          <w:bCs/>
          <w:i/>
          <w:iCs/>
          <w:lang w:eastAsia="zh-CN"/>
        </w:rPr>
        <w:t>: 6G DRX at UE side should be state-specific, capability-aware, and seamlessly coordinated to save energy while ensuring QoS responsiveness.</w:t>
      </w:r>
    </w:p>
    <w:p w14:paraId="509A7F94">
      <w:pPr>
        <w:rPr>
          <w:lang w:eastAsia="zh-CN"/>
        </w:rPr>
      </w:pPr>
    </w:p>
    <w:p w14:paraId="5C275F03">
      <w:pPr>
        <w:pStyle w:val="4"/>
        <w:rPr>
          <w:lang w:eastAsia="zh-CN"/>
        </w:rPr>
      </w:pPr>
      <w:r>
        <w:rPr>
          <w:lang w:eastAsia="zh-CN"/>
        </w:rPr>
        <w:t>WUS mechanisms</w:t>
      </w:r>
    </w:p>
    <w:p w14:paraId="7C2041C0">
      <w:pPr>
        <w:pStyle w:val="6"/>
        <w:ind w:left="864" w:hanging="864"/>
        <w:rPr>
          <w:lang w:eastAsia="zh-CN"/>
        </w:rPr>
      </w:pPr>
      <w:r>
        <w:rPr>
          <w:lang w:eastAsia="zh-CN"/>
        </w:rPr>
        <w:t>Downlink WUS enhancement</w:t>
      </w:r>
      <w:r>
        <w:rPr>
          <w:rFonts w:hint="eastAsia"/>
          <w:lang w:eastAsia="zh-CN"/>
        </w:rPr>
        <w:t xml:space="preserve"> </w:t>
      </w:r>
    </w:p>
    <w:p w14:paraId="00199180">
      <w:pPr>
        <w:pStyle w:val="7"/>
        <w:ind w:left="1008" w:hanging="1008"/>
        <w:rPr>
          <w:lang w:eastAsia="zh-CN"/>
        </w:rPr>
      </w:pPr>
      <w:r>
        <w:rPr>
          <w:lang w:eastAsia="zh-CN"/>
        </w:rPr>
        <w:t xml:space="preserve">Downlink </w:t>
      </w:r>
      <w:r>
        <w:rPr>
          <w:rFonts w:hint="eastAsia"/>
          <w:lang w:eastAsia="zh-CN"/>
        </w:rPr>
        <w:t>LP-</w:t>
      </w:r>
      <w:r>
        <w:rPr>
          <w:lang w:eastAsia="zh-CN"/>
        </w:rPr>
        <w:t>WUS enhancement</w:t>
      </w:r>
    </w:p>
    <w:p w14:paraId="3B0CC296">
      <w:pPr>
        <w:rPr>
          <w:lang w:eastAsia="zh-CN"/>
        </w:rPr>
      </w:pPr>
      <w:r>
        <w:rPr>
          <w:lang w:eastAsia="zh-CN"/>
        </w:rPr>
        <w:t>We have discussed WUS/LP-WUS/LP-SS design in section 2. Based on existing WUS/LP-WUS/LP-SS design,</w:t>
      </w:r>
      <w:r>
        <w:rPr>
          <w:rFonts w:hint="eastAsia"/>
          <w:lang w:eastAsia="zh-CN"/>
        </w:rPr>
        <w:t xml:space="preserve"> </w:t>
      </w:r>
      <w:r>
        <w:rPr>
          <w:lang w:eastAsia="zh-CN"/>
        </w:rPr>
        <w:t>here we continue discussing other aspects considerations of LP signal transmission on 6G day 1.</w:t>
      </w:r>
    </w:p>
    <w:p w14:paraId="1465D456">
      <w:pPr>
        <w:rPr>
          <w:lang w:eastAsia="zh-CN"/>
        </w:rPr>
      </w:pPr>
      <w:r>
        <w:rPr>
          <w:lang w:eastAsia="zh-CN"/>
        </w:rPr>
        <w:t>In 5G NR, specialized signals like WUS</w:t>
      </w:r>
      <w:r>
        <w:rPr>
          <w:rFonts w:hint="eastAsia"/>
          <w:lang w:eastAsia="zh-CN"/>
        </w:rPr>
        <w:t>/</w:t>
      </w:r>
      <w:r>
        <w:rPr>
          <w:lang w:eastAsia="zh-CN"/>
        </w:rPr>
        <w:t>LP-WUS</w:t>
      </w:r>
      <w:r>
        <w:rPr>
          <w:rFonts w:hint="eastAsia"/>
          <w:lang w:eastAsia="zh-CN"/>
        </w:rPr>
        <w:t>/</w:t>
      </w:r>
      <w:r>
        <w:rPr>
          <w:lang w:eastAsia="zh-CN"/>
        </w:rPr>
        <w:t>LP-SS were introduced to drastically reduce device power consumption. The design motivation</w:t>
      </w:r>
      <w:r>
        <w:rPr>
          <w:rFonts w:hint="eastAsia"/>
          <w:lang w:eastAsia="zh-CN"/>
        </w:rPr>
        <w:t xml:space="preserve"> of</w:t>
      </w:r>
      <w:r>
        <w:rPr>
          <w:lang w:eastAsia="zh-CN"/>
        </w:rPr>
        <w:t xml:space="preserve"> LP-WUS/LP-SS was to let a secondary WUR monitor for these simple signals while the main radio stays off, thus extending sleep periods without missing important messages. An LP-WUS is a brief, energy-detectable beacon that triggers the UE’s main radio only when a paging message is actually pending, avoiding continuous or frequent full receiver activation. Likewise, an LP-SS provides just enough reference for the WUR to maintain timing and perform cell measurements, allowing the main radio to remain in deep sleep. This mechanism enables significant power savings (on the order of ~80% in idle mode tests) while still meeting network reachability latency requirements. </w:t>
      </w:r>
    </w:p>
    <w:p w14:paraId="1F0B1798">
      <w:pPr>
        <w:rPr>
          <w:lang w:eastAsia="zh-CN"/>
        </w:rPr>
      </w:pPr>
      <w:r>
        <w:rPr>
          <w:lang w:eastAsia="zh-CN"/>
        </w:rPr>
        <w:t>In 6G, such low-power signal designs will be fundamental across diverse scenarios, e.g., from massive LPWA sensor networks and high-mobility devices (e.g. vehicles) to indoor smart environments and energy-efficient eMBB devices. These signals (e.g. LP-SS, LP-WUS, and specific LP channel) enable UE to spend most time in sleep or ultra-low-power states, yet wake promptly for data. This can extend battery lifetimes to years or even enable battery-free devices via energy harvesting. For instance, integrating WUS into 6G is estimated to cut UE modem energy use by ~35% in typical bursty traffic scenarios, allowing UEs to sleep between data packets with negligible impact on latency or user experience. Accordingly, 6G is expected to natively support long DRX cycles and WUS from its first release with some enhancement (e.g., OFDM-based LP-WUS/SS), leveraging the 5G-Advanced WUR features (Rel-18/19) to benefit even high-capability devices operating in low-power modes as well as massive-scale LPWA.</w:t>
      </w:r>
    </w:p>
    <w:p w14:paraId="0004E27F">
      <w:pPr>
        <w:rPr>
          <w:lang w:eastAsia="zh-CN"/>
        </w:rPr>
      </w:pPr>
      <w:r>
        <w:rPr>
          <w:lang w:eastAsia="zh-CN"/>
        </w:rPr>
        <w:t>However, several challenges remain in applying low-power signals to all 6G use cases</w:t>
      </w:r>
    </w:p>
    <w:p w14:paraId="2A7E2282">
      <w:pPr>
        <w:numPr>
          <w:ilvl w:val="0"/>
          <w:numId w:val="24"/>
        </w:numPr>
        <w:rPr>
          <w:lang w:eastAsia="zh-CN"/>
        </w:rPr>
      </w:pPr>
      <w:r>
        <w:rPr>
          <w:lang w:eastAsia="zh-CN"/>
        </w:rPr>
        <w:t xml:space="preserve"> </w:t>
      </w:r>
      <w:r>
        <w:rPr>
          <w:rFonts w:ascii="Times New Roman Bold" w:hAnsi="Times New Roman Bold" w:cs="Times New Roman Bold"/>
          <w:b/>
          <w:bCs/>
          <w:lang w:eastAsia="zh-CN"/>
        </w:rPr>
        <w:t>Coverage and Reliability</w:t>
      </w:r>
      <w:r>
        <w:rPr>
          <w:lang w:eastAsia="zh-CN"/>
        </w:rPr>
        <w:t xml:space="preserve">: Low-power signals must reliably reach devices in wide-area and deep-indoor scenarios. Ensuring this may require techniques like repetition or beamforming to boost link budget. The design must balance such enhancements with network overhead. Additionally, WUS should be selective to avoid false awakenings of non-target UEs – an issue addressed in 5G by subgroup-specific WUS sequences that 6G will need to refine for an even larger device population. </w:t>
      </w:r>
    </w:p>
    <w:p w14:paraId="4C197967">
      <w:pPr>
        <w:numPr>
          <w:ilvl w:val="0"/>
          <w:numId w:val="24"/>
        </w:numPr>
        <w:rPr>
          <w:lang w:eastAsia="zh-CN"/>
        </w:rPr>
      </w:pPr>
      <w:r>
        <w:rPr>
          <w:rFonts w:ascii="Times New Roman Bold" w:hAnsi="Times New Roman Bold" w:cs="Times New Roman Bold"/>
          <w:b/>
          <w:bCs/>
          <w:lang w:eastAsia="zh-CN"/>
        </w:rPr>
        <w:t>Overhead and Efficient Data Transfer</w:t>
      </w:r>
      <w:r>
        <w:rPr>
          <w:lang w:eastAsia="zh-CN"/>
        </w:rPr>
        <w:t xml:space="preserve">: Introducing new </w:t>
      </w:r>
      <w:r>
        <w:rPr>
          <w:rFonts w:hint="eastAsia"/>
          <w:lang w:eastAsia="zh-CN"/>
        </w:rPr>
        <w:t>LP-signal</w:t>
      </w:r>
      <w:r>
        <w:rPr>
          <w:lang w:eastAsia="zh-CN"/>
        </w:rPr>
        <w:t xml:space="preserve"> or LP-channel should not unduly increase network complexity or signaling overhead. 6G might adopt simplified or on-demand common signaling. Likewise, lean control and data channels for small packets could allow UEs to exchange brief information without a full connection setup. Such mechanisms would let sleeping UEs communicate opportunistically while minimizing active time.</w:t>
      </w:r>
    </w:p>
    <w:p w14:paraId="03040975">
      <w:pPr>
        <w:rPr>
          <w:lang w:eastAsia="zh-CN"/>
        </w:rPr>
      </w:pPr>
      <w:r>
        <w:rPr>
          <w:lang w:eastAsia="zh-CN"/>
        </w:rPr>
        <w:t>Overall, focusing on FR1 and mid-band (</w:t>
      </w:r>
      <w:r>
        <w:rPr>
          <w:rFonts w:hint="default"/>
          <w:lang w:val="en-US" w:eastAsia="zh-CN"/>
        </w:rPr>
        <w:t xml:space="preserve">e.g., </w:t>
      </w:r>
      <w:r>
        <w:rPr>
          <w:lang w:eastAsia="zh-CN"/>
        </w:rPr>
        <w:t xml:space="preserve">FR3) frequencies for ubiquitous </w:t>
      </w:r>
      <w:r>
        <w:rPr>
          <w:rFonts w:hint="eastAsia"/>
          <w:lang w:eastAsia="zh-CN"/>
        </w:rPr>
        <w:t>LP</w:t>
      </w:r>
      <w:r>
        <w:rPr>
          <w:lang w:eastAsia="zh-CN"/>
        </w:rPr>
        <w:t xml:space="preserve"> signaling, while leveraging cross-band coordination for FR2, will help 6G networks serve a broad range of devices in an energy-efficient manner. </w:t>
      </w:r>
    </w:p>
    <w:p w14:paraId="59B4C5F9">
      <w:pPr>
        <w:rPr>
          <w:lang w:eastAsia="zh-CN"/>
        </w:rPr>
      </w:pPr>
      <w:r>
        <w:rPr>
          <w:lang w:eastAsia="zh-CN"/>
        </w:rPr>
        <w:t xml:space="preserve">And also, 5G Advanced introduced the </w:t>
      </w:r>
      <w:r>
        <w:rPr>
          <w:rFonts w:hint="eastAsia"/>
          <w:lang w:eastAsia="zh-CN"/>
        </w:rPr>
        <w:t>technique</w:t>
      </w:r>
      <w:r>
        <w:rPr>
          <w:lang w:eastAsia="zh-CN"/>
        </w:rPr>
        <w:t xml:space="preserve"> of</w:t>
      </w:r>
      <w:r>
        <w:rPr>
          <w:rFonts w:hint="eastAsia"/>
          <w:lang w:eastAsia="zh-CN"/>
        </w:rPr>
        <w:t xml:space="preserve"> LP-WUR/WUS. </w:t>
      </w:r>
      <w:r>
        <w:rPr>
          <w:lang w:eastAsia="zh-CN"/>
        </w:rPr>
        <w:t>Upon detecting it, the UE’s main radio is triggered to wake and handle the incoming message or data.</w:t>
      </w:r>
      <w:r>
        <w:rPr>
          <w:rFonts w:hint="eastAsia"/>
          <w:lang w:eastAsia="zh-CN"/>
        </w:rPr>
        <w:t xml:space="preserve"> </w:t>
      </w:r>
      <w:r>
        <w:rPr>
          <w:lang w:eastAsia="zh-CN"/>
        </w:rPr>
        <w:t>6G will natively embrace such techniques</w:t>
      </w:r>
      <w:r>
        <w:rPr>
          <w:rFonts w:hint="eastAsia"/>
          <w:lang w:eastAsia="zh-CN"/>
        </w:rPr>
        <w:t xml:space="preserve">. </w:t>
      </w:r>
      <w:r>
        <w:rPr>
          <w:lang w:eastAsia="zh-CN"/>
        </w:rPr>
        <w:t>I</w:t>
      </w:r>
      <w:r>
        <w:rPr>
          <w:rFonts w:hint="eastAsia"/>
          <w:lang w:eastAsia="zh-CN"/>
        </w:rPr>
        <w:t>n 6G, b</w:t>
      </w:r>
      <w:r>
        <w:rPr>
          <w:lang w:eastAsia="zh-CN"/>
        </w:rPr>
        <w:t>y utilizing such wake-up signals both in downlink and potentially in uplink, UEs avoid the energy cost of constant monitoring.</w:t>
      </w:r>
    </w:p>
    <w:p w14:paraId="7FDEB5D7">
      <w:pPr>
        <w:rPr>
          <w:lang w:eastAsia="zh-CN"/>
        </w:rPr>
      </w:pPr>
    </w:p>
    <w:p w14:paraId="652F99D1">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33</w:t>
      </w:r>
      <w:r>
        <w:rPr>
          <w:rFonts w:ascii="Times New Roman Bold Italic" w:hAnsi="Times New Roman Bold Italic" w:cs="Times New Roman Bold Italic"/>
          <w:b/>
          <w:bCs/>
          <w:i/>
          <w:iCs/>
          <w:lang w:eastAsia="zh-CN"/>
        </w:rPr>
        <w:t>: 6G is expected to natively support long DRX cycles and WUS from its first release, leveraging the 5G-Advanced WUR features (Rel-18/19) to benefit even high-capability devices operating in low-power modes as well as massive-scale LPWA.</w:t>
      </w:r>
    </w:p>
    <w:p w14:paraId="229557AB">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34</w:t>
      </w:r>
      <w:r>
        <w:rPr>
          <w:rFonts w:hint="eastAsia" w:ascii="Times New Roman Bold Italic" w:hAnsi="Times New Roman Bold Italic" w:cs="Times New Roman Bold Italic"/>
          <w:b/>
          <w:bCs/>
          <w:i/>
          <w:iCs/>
          <w:lang w:eastAsia="zh-CN"/>
        </w:rPr>
        <w:t>：</w:t>
      </w:r>
      <w:r>
        <w:rPr>
          <w:rFonts w:ascii="Times New Roman Bold Italic" w:hAnsi="Times New Roman Bold Italic" w:cs="Times New Roman Bold Italic"/>
          <w:b/>
          <w:bCs/>
          <w:i/>
          <w:iCs/>
          <w:lang w:eastAsia="zh-CN"/>
        </w:rPr>
        <w:t>Several challenges remain in applying low-power signals to all 6G use cases, e.g., coverage and reliability, overhead and efficient data transfer.</w:t>
      </w:r>
    </w:p>
    <w:p w14:paraId="45F68D59">
      <w:pPr>
        <w:rPr>
          <w:rFonts w:ascii="Times New Roman Bold Italic" w:hAnsi="Times New Roman Bold Italic" w:cs="Times New Roman Bold Italic"/>
          <w:b/>
          <w:bCs/>
          <w:i/>
          <w:iCs/>
          <w:lang w:eastAsia="zh-CN"/>
        </w:rPr>
      </w:pPr>
    </w:p>
    <w:p w14:paraId="2357D6A8">
      <w:pPr>
        <w:pStyle w:val="7"/>
        <w:ind w:left="1008" w:hanging="1008"/>
        <w:rPr>
          <w:lang w:eastAsia="zh-CN"/>
        </w:rPr>
      </w:pPr>
      <w:r>
        <w:rPr>
          <w:rFonts w:hint="eastAsia"/>
          <w:lang w:eastAsia="zh-CN"/>
        </w:rPr>
        <w:t>PEI scheme</w:t>
      </w:r>
    </w:p>
    <w:p w14:paraId="03FF8D86">
      <w:pPr>
        <w:rPr>
          <w:rFonts w:eastAsiaTheme="minorEastAsia"/>
          <w:bCs/>
          <w:szCs w:val="20"/>
          <w:lang w:eastAsia="zh-CN"/>
        </w:rPr>
      </w:pPr>
      <w:r>
        <w:rPr>
          <w:rFonts w:eastAsiaTheme="minorEastAsia"/>
          <w:bCs/>
          <w:szCs w:val="20"/>
          <w:lang w:eastAsia="zh-CN"/>
        </w:rPr>
        <w:t xml:space="preserve">In NR, DRX and eDRX mechanisms were introduced in different </w:t>
      </w:r>
      <w:r>
        <w:rPr>
          <w:rFonts w:hint="eastAsia" w:eastAsiaTheme="minorEastAsia"/>
          <w:bCs/>
          <w:szCs w:val="20"/>
          <w:lang w:eastAsia="zh-CN"/>
        </w:rPr>
        <w:t>r</w:t>
      </w:r>
      <w:r>
        <w:rPr>
          <w:rFonts w:eastAsiaTheme="minorEastAsia"/>
          <w:bCs/>
          <w:szCs w:val="20"/>
          <w:lang w:eastAsia="zh-CN"/>
        </w:rPr>
        <w:t>eleases to reduce UE power consumption. At present, the two mechanisms are largely overlapping: both reduce UE paging monitoring time within a cycle to achieve power saving, with the only distinction being that eDRX supports longer cycles with an additional PTW. Similarly, PEI and LP-WUS in different releases are also overlapping. The difference lies only in the type of indication signal and the receiver used by the UE to detect it.</w:t>
      </w:r>
      <w:r>
        <w:rPr>
          <w:rFonts w:hint="eastAsia" w:eastAsiaTheme="minorEastAsia"/>
          <w:bCs/>
          <w:szCs w:val="20"/>
          <w:lang w:eastAsia="zh-CN"/>
        </w:rPr>
        <w:t xml:space="preserve"> </w:t>
      </w:r>
      <w:r>
        <w:t>Such duplication results in management complexity and signalling overhead for both UE and network. Concretely, separate procedures and parameters are required in the NAS and RRC layers.</w:t>
      </w:r>
    </w:p>
    <w:p w14:paraId="4D2CA58C">
      <w:pPr>
        <w:rPr>
          <w:rFonts w:ascii="Times New Roman Bold Italic" w:hAnsi="Times New Roman Bold Italic" w:cs="Times New Roman Bold Italic" w:eastAsiaTheme="minorEastAsia"/>
          <w:b/>
          <w:i/>
          <w:iCs/>
          <w:szCs w:val="20"/>
          <w:lang w:eastAsia="zh-CN"/>
        </w:rPr>
      </w:pPr>
      <w:r>
        <w:rPr>
          <w:rFonts w:ascii="Times New Roman Bold Italic" w:hAnsi="Times New Roman Bold Italic" w:cs="Times New Roman Bold Italic" w:eastAsiaTheme="minorEastAsia"/>
          <w:b/>
          <w:i/>
          <w:iCs/>
          <w:szCs w:val="20"/>
          <w:lang w:eastAsia="zh-CN"/>
        </w:rPr>
        <w:t xml:space="preserve">Observation </w:t>
      </w:r>
      <w:r>
        <w:rPr>
          <w:rFonts w:hint="default" w:ascii="Times New Roman Bold Italic" w:hAnsi="Times New Roman Bold Italic" w:cs="Times New Roman Bold Italic" w:eastAsiaTheme="minorEastAsia"/>
          <w:b/>
          <w:i/>
          <w:iCs/>
          <w:szCs w:val="20"/>
          <w:lang w:val="en-US" w:eastAsia="zh-CN"/>
        </w:rPr>
        <w:t>35</w:t>
      </w:r>
      <w:r>
        <w:rPr>
          <w:rFonts w:ascii="Times New Roman Bold Italic" w:hAnsi="Times New Roman Bold Italic" w:cs="Times New Roman Bold Italic" w:eastAsiaTheme="minorEastAsia"/>
          <w:b/>
          <w:i/>
          <w:iCs/>
          <w:szCs w:val="20"/>
          <w:lang w:eastAsia="zh-CN"/>
        </w:rPr>
        <w:t>: The DRX/eDRX or PEI/LP-WUS mechanisms have similar functionalities, which results in system complexity.</w:t>
      </w:r>
    </w:p>
    <w:p w14:paraId="0086A6A5">
      <w:pPr>
        <w:rPr>
          <w:rFonts w:eastAsiaTheme="minorEastAsia"/>
          <w:bCs/>
          <w:szCs w:val="20"/>
          <w:lang w:eastAsia="zh-CN"/>
        </w:rPr>
      </w:pPr>
      <w:r>
        <w:rPr>
          <w:rFonts w:eastAsiaTheme="minorEastAsia"/>
          <w:bCs/>
          <w:szCs w:val="20"/>
          <w:lang w:eastAsia="zh-CN"/>
        </w:rPr>
        <w:t>In 6G, mechanisms similar to DRX/eDRX and PEI/LP-WUS should continue to be supported to ensure efficient power control for paging monitoring in NON-CONNECTED states. These mechanisms have demonstrated clear benefits in LTE and NR for extending UE battery life and reducing network energy consumption.</w:t>
      </w:r>
      <w:r>
        <w:t xml:space="preserve"> However, </w:t>
      </w:r>
      <w:r>
        <w:rPr>
          <w:rFonts w:eastAsiaTheme="minorEastAsia"/>
          <w:bCs/>
          <w:szCs w:val="20"/>
          <w:lang w:eastAsia="zh-CN"/>
        </w:rPr>
        <w:t xml:space="preserve">the system complexity proposed above should be avoided to achieve both </w:t>
      </w:r>
      <w:bookmarkStart w:id="8" w:name="_Hlk209767031"/>
      <w:r>
        <w:rPr>
          <w:rFonts w:eastAsiaTheme="minorEastAsia"/>
          <w:bCs/>
          <w:szCs w:val="20"/>
          <w:lang w:eastAsia="zh-CN"/>
        </w:rPr>
        <w:t>simplified protocol implementation</w:t>
      </w:r>
      <w:bookmarkEnd w:id="8"/>
      <w:r>
        <w:rPr>
          <w:rFonts w:eastAsiaTheme="minorEastAsia"/>
          <w:bCs/>
          <w:szCs w:val="20"/>
          <w:lang w:eastAsia="zh-CN"/>
        </w:rPr>
        <w:t xml:space="preserve"> and power saving.</w:t>
      </w:r>
    </w:p>
    <w:p w14:paraId="01103E3B">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16</w:t>
      </w:r>
      <w:r>
        <w:rPr>
          <w:rFonts w:ascii="Times New Roman Bold Italic" w:hAnsi="Times New Roman Bold Italic" w:cs="Times New Roman Bold Italic"/>
          <w:b/>
          <w:bCs/>
          <w:i/>
          <w:iCs/>
          <w:lang w:eastAsia="zh-CN"/>
        </w:rPr>
        <w:t>: From RAN 2 perspective, D</w:t>
      </w:r>
      <w:r>
        <w:rPr>
          <w:rFonts w:ascii="Times New Roman Bold Italic" w:hAnsi="Times New Roman Bold Italic" w:eastAsia="等线" w:cs="Times New Roman Bold Italic"/>
          <w:b/>
          <w:bCs/>
          <w:i/>
          <w:iCs/>
          <w:szCs w:val="20"/>
          <w:lang w:eastAsia="zh-CN"/>
        </w:rPr>
        <w:t xml:space="preserve">RX/eDRX and PEI/LP-WUS mechanisms should be supported in a simplified manner to achieve both power saving and simplified protocol implementation. Thus, consider the impact of unified/simplified </w:t>
      </w:r>
      <w:r>
        <w:rPr>
          <w:rFonts w:ascii="Times New Roman Bold Italic" w:hAnsi="Times New Roman Bold Italic" w:cs="Times New Roman Bold Italic"/>
          <w:b/>
          <w:bCs/>
          <w:i/>
          <w:iCs/>
          <w:lang w:eastAsia="zh-CN"/>
        </w:rPr>
        <w:t>D</w:t>
      </w:r>
      <w:r>
        <w:rPr>
          <w:rFonts w:ascii="Times New Roman Bold Italic" w:hAnsi="Times New Roman Bold Italic" w:eastAsia="等线" w:cs="Times New Roman Bold Italic"/>
          <w:b/>
          <w:bCs/>
          <w:i/>
          <w:iCs/>
          <w:szCs w:val="20"/>
          <w:lang w:eastAsia="zh-CN"/>
        </w:rPr>
        <w:t>RX/eDRX and PEI/LP-WUS on RAN 1.</w:t>
      </w:r>
    </w:p>
    <w:p w14:paraId="0FAB98B4">
      <w:pPr>
        <w:rPr>
          <w:lang w:eastAsia="zh-CN"/>
        </w:rPr>
      </w:pPr>
    </w:p>
    <w:p w14:paraId="0496D9D9">
      <w:pPr>
        <w:pStyle w:val="6"/>
        <w:ind w:left="864" w:hanging="864"/>
        <w:rPr>
          <w:lang w:eastAsia="zh-CN"/>
        </w:rPr>
      </w:pPr>
      <w:r>
        <w:rPr>
          <w:lang w:eastAsia="zh-CN"/>
        </w:rPr>
        <w:t>Uplink WUS enhancement</w:t>
      </w:r>
    </w:p>
    <w:p w14:paraId="74CE9DE7">
      <w:pPr>
        <w:rPr>
          <w:lang w:eastAsia="zh-CN"/>
        </w:rPr>
      </w:pPr>
      <w:r>
        <w:rPr>
          <w:lang w:eastAsia="zh-CN"/>
        </w:rPr>
        <w:t>As discussed in 5.1.2, if a UE’s data demand spikes or incoming traffic is detected, the network should rapidly wake the necessary SCell(s), transmit or receive the data, then promptly return those carriers to sleep. This may involve new control signaling – e.g. a brief wake-up indicator on the anchor or an uplink trigger from the UE – to initiate SCell activation.</w:t>
      </w:r>
    </w:p>
    <w:p w14:paraId="3CDA55AF">
      <w:pPr>
        <w:rPr>
          <w:lang w:eastAsia="zh-CN"/>
        </w:rPr>
      </w:pPr>
      <w:r>
        <w:rPr>
          <w:lang w:eastAsia="zh-CN"/>
        </w:rPr>
        <w:t>In 5G, the concept of UL-WUS has been studied mainly as a means to reduce UE energy consumption while ensuring that uplink transmissions can be initiated efficiently. The basic idea is that a lightweight signaling mechanism, sent from the UE toward the network, indicates that the terminal is ready or intends to transmit, thereby avoiding continuous monitoring or long preambles. However, when we look toward 6G, several technical challenges emerge. First, the scalability problem: with massive device densities and heterogeneous traffic (from IoT to XR headsets), a large number of UEs might need to use UL-WUS, raising interference, detection reliability, and collision handling issues. Second, the accuracy and synchronization challenge: 6G systems will operate over wider frequency ranges (FR1 to FR3) and highly flexible duplexing; ensuring UL-WUS can be reliably detected without consuming excessive resources will be difficult. Third, the integration with other energy saving mechanisms such as DRX/DTX and cell dormancy is non-trivial; UL-WUS must be harmonized with anchor/secondary cell behavior to avoid wasted wake-ups. Finally, QoS differentiation must be supported—lightweight IoT may tolerate delays, while URLLC or interactive services require immediate UL scheduling, which puts stress on the UL-WUS design.</w:t>
      </w:r>
    </w:p>
    <w:p w14:paraId="154302A0">
      <w:pPr>
        <w:rPr>
          <w:lang w:eastAsia="zh-CN"/>
        </w:rPr>
      </w:pPr>
      <w:r>
        <w:rPr>
          <w:rFonts w:hint="eastAsia" w:ascii="Times New Roman Bold Italic" w:hAnsi="Times New Roman Bold Italic" w:cs="Times New Roman Bold Italic"/>
          <w:b/>
          <w:bCs/>
          <w:i/>
          <w:iCs/>
          <w:lang w:eastAsia="zh-CN"/>
        </w:rPr>
        <w:t>Observation</w:t>
      </w:r>
      <w:r>
        <w:rPr>
          <w:rFonts w:hint="default" w:ascii="Times New Roman Bold Italic" w:hAnsi="Times New Roman Bold Italic" w:cs="Times New Roman Bold Italic"/>
          <w:b/>
          <w:bCs/>
          <w:i/>
          <w:iCs/>
          <w:lang w:val="en-US" w:eastAsia="zh-CN"/>
        </w:rPr>
        <w:t>36</w:t>
      </w:r>
      <w:r>
        <w:rPr>
          <w:rFonts w:hint="eastAsia" w:ascii="Times New Roman Bold Italic" w:hAnsi="Times New Roman Bold Italic" w:cs="Times New Roman Bold Italic"/>
          <w:b/>
          <w:bCs/>
          <w:i/>
          <w:iCs/>
          <w:lang w:eastAsia="zh-CN"/>
        </w:rPr>
        <w:t>：6G UL-WUS faces scalability, interference, synchronization, and QoS differentiation challenges across diverse devices, frequency ranges, and energy-saving integration.</w:t>
      </w:r>
    </w:p>
    <w:p w14:paraId="4B66EFCF">
      <w:pPr>
        <w:rPr>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17</w:t>
      </w:r>
      <w:r>
        <w:rPr>
          <w:rFonts w:ascii="Times New Roman Bold Italic" w:hAnsi="Times New Roman Bold Italic" w:cs="Times New Roman Bold Italic"/>
          <w:b/>
          <w:bCs/>
          <w:i/>
          <w:iCs/>
          <w:lang w:eastAsia="zh-CN"/>
        </w:rPr>
        <w:t>: Discuss whether/how to consider low-power signal design (including LP-WUS/LP-SS</w:t>
      </w:r>
      <w:r>
        <w:rPr>
          <w:rFonts w:hint="eastAsia" w:ascii="Times New Roman Bold Italic" w:hAnsi="Times New Roman Bold Italic" w:cs="Times New Roman Bold Italic"/>
          <w:b/>
          <w:bCs/>
          <w:i/>
          <w:iCs/>
          <w:lang w:eastAsia="zh-CN"/>
        </w:rPr>
        <w:t>/UL-WUS</w:t>
      </w:r>
      <w:r>
        <w:rPr>
          <w:rFonts w:ascii="Times New Roman Bold Italic" w:hAnsi="Times New Roman Bold Italic" w:cs="Times New Roman Bold Italic"/>
          <w:b/>
          <w:bCs/>
          <w:i/>
          <w:iCs/>
          <w:lang w:eastAsia="zh-CN"/>
        </w:rPr>
        <w:t>) in 6G day 1 for 6G energy savings.</w:t>
      </w:r>
    </w:p>
    <w:p w14:paraId="2476DFC1">
      <w:pPr>
        <w:rPr>
          <w:lang w:eastAsia="zh-CN"/>
        </w:rPr>
      </w:pPr>
    </w:p>
    <w:p w14:paraId="213F9488">
      <w:pPr>
        <w:pStyle w:val="4"/>
        <w:rPr>
          <w:lang w:eastAsia="zh-CN"/>
        </w:rPr>
      </w:pPr>
      <w:r>
        <w:rPr>
          <w:lang w:eastAsia="zh-CN"/>
        </w:rPr>
        <w:t>Measurement enhancement</w:t>
      </w:r>
    </w:p>
    <w:p w14:paraId="6C472611">
      <w:pPr>
        <w:rPr>
          <w:lang w:eastAsia="zh-CN"/>
        </w:rPr>
      </w:pPr>
      <w:r>
        <w:rPr>
          <w:lang w:eastAsia="zh-CN"/>
        </w:rPr>
        <w:t>In 5G, measurement design for energy saving mainly revolves around discontinuous monitoring of reference signals (such as CSI-RS and SSB), adaptive measurement gaps, and assistance information from UEs to reduce redundant scanning. These designs already demonstrated that continuous and dense measurement activity can drain UE batteries and also waste network resources. Looking toward 6G, the measurement problem becomes more complex because of expanded frequency ranges (including FR3), denser multi-carrier operation, and highly heterogeneous devices from massive IoT sensors to latency-sensitive XR terminals.</w:t>
      </w:r>
    </w:p>
    <w:p w14:paraId="5C550A38">
      <w:pPr>
        <w:rPr>
          <w:lang w:eastAsia="zh-CN"/>
        </w:rPr>
      </w:pPr>
      <w:r>
        <w:rPr>
          <w:lang w:eastAsia="zh-CN"/>
        </w:rPr>
        <w:t xml:space="preserve">Several technical issues can be anticipated. </w:t>
      </w:r>
    </w:p>
    <w:p w14:paraId="05FCDB06">
      <w:pPr>
        <w:numPr>
          <w:ilvl w:val="0"/>
          <w:numId w:val="25"/>
        </w:numPr>
        <w:rPr>
          <w:lang w:eastAsia="zh-CN"/>
        </w:rPr>
      </w:pPr>
      <w:r>
        <w:rPr>
          <w:lang w:eastAsia="zh-CN"/>
        </w:rPr>
        <w:t xml:space="preserve">First, the overhead problem: 6G may require measurements across many bands, beams, and carriers, and repeating today’s frequent CSI/SSB measurements would be prohibitively power-hungry. </w:t>
      </w:r>
    </w:p>
    <w:p w14:paraId="0C9A3BC1">
      <w:pPr>
        <w:numPr>
          <w:ilvl w:val="0"/>
          <w:numId w:val="25"/>
        </w:numPr>
        <w:rPr>
          <w:lang w:eastAsia="zh-CN"/>
        </w:rPr>
      </w:pPr>
      <w:r>
        <w:rPr>
          <w:lang w:eastAsia="zh-CN"/>
        </w:rPr>
        <w:t xml:space="preserve">Second, alignment challenges: current measurements are not always synchronized with DRX/DTX or cell sleep cycles, leading to situations where UEs wake to measure signals that are not relevant, undermining energy savings. </w:t>
      </w:r>
    </w:p>
    <w:p w14:paraId="275458EA">
      <w:pPr>
        <w:numPr>
          <w:ilvl w:val="0"/>
          <w:numId w:val="25"/>
        </w:numPr>
        <w:rPr>
          <w:lang w:eastAsia="zh-CN"/>
        </w:rPr>
      </w:pPr>
      <w:r>
        <w:rPr>
          <w:lang w:eastAsia="zh-CN"/>
        </w:rPr>
        <w:t xml:space="preserve">Third, QoS and capability mismatch: devices with very different capabilities (e.g. </w:t>
      </w:r>
      <w:r>
        <w:rPr>
          <w:rFonts w:hint="eastAsia"/>
          <w:lang w:eastAsia="zh-CN"/>
        </w:rPr>
        <w:t>～3MHz UE</w:t>
      </w:r>
      <w:r>
        <w:rPr>
          <w:lang w:eastAsia="zh-CN"/>
        </w:rPr>
        <w:t xml:space="preserve"> vs. advanced handsets) may be forced to follow uniform measurement patterns, wasting energy or missing accuracy. </w:t>
      </w:r>
    </w:p>
    <w:p w14:paraId="5D7A9A0D">
      <w:pPr>
        <w:numPr>
          <w:ilvl w:val="0"/>
          <w:numId w:val="25"/>
        </w:numPr>
        <w:rPr>
          <w:lang w:eastAsia="zh-CN"/>
        </w:rPr>
      </w:pPr>
      <w:r>
        <w:rPr>
          <w:lang w:eastAsia="zh-CN"/>
        </w:rPr>
        <w:t>Finally, cross-domain integration will be harder, as sensing, positioning, and communication functions converge, creating measurement demands that may conflict with energy-saving goals.</w:t>
      </w:r>
    </w:p>
    <w:p w14:paraId="362F35A2">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37</w:t>
      </w:r>
      <w:r>
        <w:rPr>
          <w:rFonts w:hint="eastAsia" w:ascii="Times New Roman Bold Italic" w:hAnsi="Times New Roman Bold Italic" w:cs="Times New Roman Bold Italic"/>
          <w:b/>
          <w:bCs/>
          <w:i/>
          <w:iCs/>
          <w:lang w:eastAsia="zh-CN"/>
        </w:rPr>
        <w:t>：6G measurement for</w:t>
      </w:r>
      <w:r>
        <w:rPr>
          <w:rFonts w:ascii="Times New Roman Bold Italic" w:hAnsi="Times New Roman Bold Italic" w:cs="Times New Roman Bold Italic"/>
          <w:b/>
          <w:bCs/>
          <w:i/>
          <w:iCs/>
          <w:lang w:eastAsia="zh-CN"/>
        </w:rPr>
        <w:t xml:space="preserve"> energy efficiency</w:t>
      </w:r>
      <w:r>
        <w:rPr>
          <w:rFonts w:hint="eastAsia" w:ascii="Times New Roman Bold Italic" w:hAnsi="Times New Roman Bold Italic" w:cs="Times New Roman Bold Italic"/>
          <w:b/>
          <w:bCs/>
          <w:i/>
          <w:iCs/>
          <w:lang w:eastAsia="zh-CN"/>
        </w:rPr>
        <w:t xml:space="preserve"> faces excessive overhead, poor alignment with DRX/DTX, device capability mismatches, and integration conflicts with sensing and positioning.</w:t>
      </w:r>
    </w:p>
    <w:p w14:paraId="442A0F65">
      <w:pPr>
        <w:rPr>
          <w:rFonts w:ascii="Times New Roman Bold Italic" w:hAnsi="Times New Roman Bold Italic" w:cs="Times New Roman Bold Italic"/>
          <w:b/>
          <w:bCs/>
          <w:i/>
          <w:iCs/>
          <w:lang w:eastAsia="zh-CN"/>
        </w:rPr>
      </w:pPr>
    </w:p>
    <w:p w14:paraId="22A0BF19">
      <w:pPr>
        <w:pStyle w:val="4"/>
        <w:rPr>
          <w:lang w:eastAsia="zh-CN"/>
        </w:rPr>
      </w:pPr>
      <w:r>
        <w:rPr>
          <w:lang w:eastAsia="zh-CN"/>
        </w:rPr>
        <w:t>Scalability of frequency domain</w:t>
      </w:r>
    </w:p>
    <w:p w14:paraId="3740E7EB">
      <w:pPr>
        <w:rPr>
          <w:lang w:eastAsia="zh-CN"/>
        </w:rPr>
      </w:pPr>
      <w:r>
        <w:rPr>
          <w:rFonts w:hint="eastAsia"/>
          <w:lang w:eastAsia="zh-CN"/>
        </w:rPr>
        <w:t xml:space="preserve">Besides reducing </w:t>
      </w:r>
      <w:r>
        <w:rPr>
          <w:lang w:eastAsia="zh-CN"/>
        </w:rPr>
        <w:t>always-on transmissions</w:t>
      </w:r>
      <w:r>
        <w:rPr>
          <w:rFonts w:hint="eastAsia"/>
          <w:lang w:eastAsia="zh-CN"/>
        </w:rPr>
        <w:t xml:space="preserve">, 6G </w:t>
      </w:r>
      <w:r>
        <w:rPr>
          <w:lang w:eastAsia="zh-CN"/>
        </w:rPr>
        <w:t xml:space="preserve">is </w:t>
      </w:r>
      <w:r>
        <w:rPr>
          <w:rFonts w:hint="eastAsia"/>
          <w:lang w:eastAsia="zh-CN"/>
        </w:rPr>
        <w:t xml:space="preserve">also </w:t>
      </w:r>
      <w:r>
        <w:rPr>
          <w:lang w:eastAsia="zh-CN"/>
        </w:rPr>
        <w:t xml:space="preserve">exploring new frequency-domain strategies to further </w:t>
      </w:r>
      <w:r>
        <w:rPr>
          <w:rFonts w:hint="eastAsia"/>
          <w:lang w:eastAsia="zh-CN"/>
        </w:rPr>
        <w:t>improve the</w:t>
      </w:r>
      <w:r>
        <w:rPr>
          <w:lang w:eastAsia="zh-CN"/>
        </w:rPr>
        <w:t xml:space="preserve"> energy </w:t>
      </w:r>
      <w:r>
        <w:rPr>
          <w:rFonts w:hint="eastAsia"/>
          <w:lang w:eastAsia="zh-CN"/>
        </w:rPr>
        <w:t>efficiency.</w:t>
      </w:r>
      <w:r>
        <w:t xml:space="preserve"> </w:t>
      </w:r>
      <w:r>
        <w:rPr>
          <w:rFonts w:hint="eastAsia"/>
          <w:lang w:eastAsia="zh-CN"/>
        </w:rPr>
        <w:t>D</w:t>
      </w:r>
      <w:r>
        <w:rPr>
          <w:lang w:eastAsia="zh-CN"/>
        </w:rPr>
        <w:t xml:space="preserve">ynamically adapting how </w:t>
      </w:r>
      <w:r>
        <w:rPr>
          <w:rFonts w:hint="eastAsia"/>
          <w:lang w:eastAsia="zh-CN"/>
        </w:rPr>
        <w:t xml:space="preserve">the </w:t>
      </w:r>
      <w:r>
        <w:rPr>
          <w:lang w:eastAsia="zh-CN"/>
        </w:rPr>
        <w:t xml:space="preserve">spectrum is active and how it is used can significantly improve energy performance for both </w:t>
      </w:r>
      <w:r>
        <w:rPr>
          <w:rFonts w:hint="eastAsia"/>
          <w:lang w:eastAsia="zh-CN"/>
        </w:rPr>
        <w:t xml:space="preserve">UE and network. </w:t>
      </w:r>
      <w:r>
        <w:rPr>
          <w:lang w:eastAsia="zh-CN"/>
        </w:rPr>
        <w:t xml:space="preserve">5G and evolving 6G systems allow a cell or device to utilize multiple carriers simultaneously. </w:t>
      </w:r>
      <w:r>
        <w:rPr>
          <w:rFonts w:hint="eastAsia"/>
          <w:lang w:eastAsia="zh-CN"/>
        </w:rPr>
        <w:t>M</w:t>
      </w:r>
      <w:r>
        <w:rPr>
          <w:lang w:eastAsia="zh-CN"/>
        </w:rPr>
        <w:t xml:space="preserve">ulti-carrier operation enables </w:t>
      </w:r>
      <w:r>
        <w:rPr>
          <w:rFonts w:hint="eastAsia"/>
          <w:lang w:eastAsia="zh-CN"/>
        </w:rPr>
        <w:t xml:space="preserve">the </w:t>
      </w:r>
      <w:r>
        <w:rPr>
          <w:lang w:eastAsia="zh-CN"/>
        </w:rPr>
        <w:t>flexib</w:t>
      </w:r>
      <w:r>
        <w:rPr>
          <w:rFonts w:hint="eastAsia"/>
          <w:lang w:eastAsia="zh-CN"/>
        </w:rPr>
        <w:t>ility</w:t>
      </w:r>
      <w:r>
        <w:rPr>
          <w:lang w:eastAsia="zh-CN"/>
        </w:rPr>
        <w:t xml:space="preserve"> of spectrum</w:t>
      </w:r>
      <w:r>
        <w:rPr>
          <w:rFonts w:hint="eastAsia"/>
          <w:lang w:eastAsia="zh-CN"/>
        </w:rPr>
        <w:t xml:space="preserve">. </w:t>
      </w:r>
    </w:p>
    <w:p w14:paraId="0A396FD7">
      <w:pPr>
        <w:rPr>
          <w:lang w:eastAsia="zh-CN"/>
        </w:rPr>
      </w:pPr>
      <w:r>
        <w:rPr>
          <w:lang w:eastAsia="zh-CN"/>
        </w:rPr>
        <w:t>In 5G-Advanced, RAN1 has been studying techniques for SCell dormancy, wherein secondary component carriers in carrier aggregation can be put to “sleep” when no data is scheduled. A dormant secondary cell carries no PDCCH</w:t>
      </w:r>
      <w:r>
        <w:rPr>
          <w:rFonts w:hint="eastAsia"/>
          <w:lang w:eastAsia="zh-CN"/>
        </w:rPr>
        <w:t xml:space="preserve">, </w:t>
      </w:r>
      <w:r>
        <w:rPr>
          <w:lang w:eastAsia="zh-CN"/>
        </w:rPr>
        <w:t>allowing the UE to shut off RF and baseband processing for that frequency</w:t>
      </w:r>
      <w:r>
        <w:rPr>
          <w:rFonts w:hint="eastAsia"/>
          <w:lang w:eastAsia="zh-CN"/>
        </w:rPr>
        <w:t xml:space="preserve">. </w:t>
      </w:r>
      <w:r>
        <w:rPr>
          <w:lang w:eastAsia="zh-CN"/>
        </w:rPr>
        <w:t xml:space="preserve">This avoids the UE power </w:t>
      </w:r>
      <w:r>
        <w:rPr>
          <w:rFonts w:hint="eastAsia"/>
          <w:lang w:eastAsia="zh-CN"/>
        </w:rPr>
        <w:t>wasting</w:t>
      </w:r>
      <w:r>
        <w:rPr>
          <w:lang w:eastAsia="zh-CN"/>
        </w:rPr>
        <w:t xml:space="preserve"> of monitoring multiple carriers continuously.</w:t>
      </w:r>
      <w:r>
        <w:rPr>
          <w:rFonts w:hint="eastAsia"/>
          <w:lang w:eastAsia="zh-CN"/>
        </w:rPr>
        <w:t xml:space="preserve"> </w:t>
      </w:r>
      <w:r>
        <w:rPr>
          <w:lang w:eastAsia="zh-CN"/>
        </w:rPr>
        <w:t>I</w:t>
      </w:r>
      <w:r>
        <w:rPr>
          <w:rFonts w:hint="eastAsia"/>
          <w:lang w:eastAsia="zh-CN"/>
        </w:rPr>
        <w:t xml:space="preserve">n 6G, by the </w:t>
      </w:r>
      <w:r>
        <w:rPr>
          <w:lang w:eastAsia="zh-CN"/>
        </w:rPr>
        <w:t xml:space="preserve">strategies </w:t>
      </w:r>
      <w:r>
        <w:rPr>
          <w:rFonts w:hint="eastAsia"/>
          <w:lang w:eastAsia="zh-CN"/>
        </w:rPr>
        <w:t xml:space="preserve">of </w:t>
      </w:r>
      <w:r>
        <w:rPr>
          <w:lang w:eastAsia="zh-CN"/>
        </w:rPr>
        <w:t>multi-carrier</w:t>
      </w:r>
      <w:r>
        <w:rPr>
          <w:rFonts w:hint="eastAsia"/>
          <w:lang w:eastAsia="zh-CN"/>
        </w:rPr>
        <w:t xml:space="preserve"> management including d</w:t>
      </w:r>
      <w:r>
        <w:rPr>
          <w:lang w:eastAsia="zh-CN"/>
        </w:rPr>
        <w:t>ynamic multi-carrier activation/deactivation</w:t>
      </w:r>
      <w:r>
        <w:rPr>
          <w:rFonts w:hint="eastAsia"/>
          <w:lang w:eastAsia="zh-CN"/>
        </w:rPr>
        <w:t xml:space="preserve">/switching, it is expected to </w:t>
      </w:r>
      <w:r>
        <w:rPr>
          <w:lang w:eastAsia="zh-CN"/>
        </w:rPr>
        <w:t xml:space="preserve">scale bandwidth on demand, maintaining high throughput when needed but dropping </w:t>
      </w:r>
      <w:r>
        <w:rPr>
          <w:rFonts w:hint="eastAsia"/>
          <w:lang w:eastAsia="zh-CN"/>
        </w:rPr>
        <w:t>power consumption</w:t>
      </w:r>
      <w:r>
        <w:rPr>
          <w:lang w:eastAsia="zh-CN"/>
        </w:rPr>
        <w:t xml:space="preserve"> </w:t>
      </w:r>
      <w:r>
        <w:rPr>
          <w:rFonts w:hint="eastAsia"/>
          <w:lang w:eastAsia="zh-CN"/>
        </w:rPr>
        <w:t>when low traffic load.</w:t>
      </w:r>
    </w:p>
    <w:p w14:paraId="6CE39CAF">
      <w:pPr>
        <w:rPr>
          <w:lang w:eastAsia="zh-CN"/>
        </w:rPr>
      </w:pPr>
      <w:r>
        <w:rPr>
          <w:rFonts w:hint="eastAsia"/>
          <w:lang w:eastAsia="zh-CN"/>
        </w:rPr>
        <w:t>5G</w:t>
      </w:r>
      <w:r>
        <w:rPr>
          <w:lang w:eastAsia="zh-CN"/>
        </w:rPr>
        <w:t xml:space="preserve"> has introduced “SSB-less” </w:t>
      </w:r>
      <w:r>
        <w:rPr>
          <w:rFonts w:hint="eastAsia"/>
          <w:lang w:eastAsia="zh-CN"/>
        </w:rPr>
        <w:t xml:space="preserve">SCell </w:t>
      </w:r>
      <w:r>
        <w:rPr>
          <w:lang w:eastAsia="zh-CN"/>
        </w:rPr>
        <w:t>which</w:t>
      </w:r>
      <w:r>
        <w:rPr>
          <w:rFonts w:hint="eastAsia"/>
          <w:lang w:eastAsia="zh-CN"/>
        </w:rPr>
        <w:t xml:space="preserve"> </w:t>
      </w:r>
      <w:r>
        <w:rPr>
          <w:lang w:eastAsia="zh-CN"/>
        </w:rPr>
        <w:t>means not every carrier needs its own</w:t>
      </w:r>
      <w:r>
        <w:rPr>
          <w:rFonts w:hint="eastAsia"/>
          <w:lang w:eastAsia="zh-CN"/>
        </w:rPr>
        <w:t xml:space="preserve"> SSB. </w:t>
      </w:r>
      <w:r>
        <w:rPr>
          <w:lang w:eastAsia="zh-CN"/>
        </w:rPr>
        <w:t xml:space="preserve">Eliminating duplicate </w:t>
      </w:r>
      <w:r>
        <w:rPr>
          <w:rFonts w:hint="eastAsia"/>
          <w:lang w:eastAsia="zh-CN"/>
        </w:rPr>
        <w:t xml:space="preserve">common signals </w:t>
      </w:r>
      <w:r>
        <w:rPr>
          <w:lang w:eastAsia="zh-CN"/>
        </w:rPr>
        <w:t xml:space="preserve">on </w:t>
      </w:r>
      <w:r>
        <w:rPr>
          <w:rFonts w:hint="eastAsia"/>
          <w:lang w:eastAsia="zh-CN"/>
        </w:rPr>
        <w:t>each</w:t>
      </w:r>
      <w:r>
        <w:rPr>
          <w:lang w:eastAsia="zh-CN"/>
        </w:rPr>
        <w:t xml:space="preserve"> frequency band directly reduces gNB transmi</w:t>
      </w:r>
      <w:r>
        <w:rPr>
          <w:rFonts w:hint="eastAsia"/>
          <w:lang w:eastAsia="zh-CN"/>
        </w:rPr>
        <w:t>ssion</w:t>
      </w:r>
      <w:r>
        <w:rPr>
          <w:lang w:eastAsia="zh-CN"/>
        </w:rPr>
        <w:t xml:space="preserve"> and allows UEs to avoid constantly monitoring multiple bands, conserving energy on both sides</w:t>
      </w:r>
      <w:r>
        <w:rPr>
          <w:rFonts w:hint="eastAsia"/>
          <w:lang w:eastAsia="zh-CN"/>
        </w:rPr>
        <w:t xml:space="preserve">. </w:t>
      </w:r>
    </w:p>
    <w:p w14:paraId="2BC45F97">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38</w:t>
      </w:r>
      <w:r>
        <w:rPr>
          <w:rFonts w:ascii="Times New Roman Bold Italic" w:hAnsi="Times New Roman Bold Italic" w:cs="Times New Roman Bold Italic"/>
          <w:b/>
          <w:bCs/>
          <w:i/>
          <w:iCs/>
          <w:lang w:eastAsia="zh-CN"/>
        </w:rPr>
        <w:t>: For multi-carrier operation and single-cell multi-carrier deployment, scaling bandwidth on demand and eliminating duplicate common signals on each frequency band makes 6G systems more power-efficient.</w:t>
      </w:r>
    </w:p>
    <w:p w14:paraId="0F5BC5F4">
      <w:pPr>
        <w:rPr>
          <w:lang w:eastAsia="zh-CN"/>
        </w:rPr>
      </w:pPr>
      <w:r>
        <w:rPr>
          <w:rFonts w:hint="eastAsia"/>
          <w:lang w:eastAsia="zh-CN"/>
        </w:rPr>
        <w:t xml:space="preserve">NR </w:t>
      </w:r>
      <w:r>
        <w:rPr>
          <w:lang w:eastAsia="zh-CN"/>
        </w:rPr>
        <w:t xml:space="preserve">introduced the concept of </w:t>
      </w:r>
      <w:r>
        <w:rPr>
          <w:rFonts w:hint="eastAsia"/>
          <w:lang w:eastAsia="zh-CN"/>
        </w:rPr>
        <w:t xml:space="preserve">BWP </w:t>
      </w:r>
      <w:r>
        <w:rPr>
          <w:lang w:eastAsia="zh-CN"/>
        </w:rPr>
        <w:t>to allow UEs to operate on a subset of the full carrier bandwidth and thereby save power</w:t>
      </w:r>
      <w:r>
        <w:rPr>
          <w:rFonts w:hint="eastAsia"/>
          <w:lang w:eastAsia="zh-CN"/>
        </w:rPr>
        <w:t xml:space="preserve">. By using BWP, </w:t>
      </w:r>
      <w:r>
        <w:rPr>
          <w:lang w:eastAsia="zh-CN"/>
        </w:rPr>
        <w:t>the UE’s analog front-end (LNA, mixers, ADC) can be tuned to a narrower bandwidth and its baseband only processes a smaller FFT size, significantly reducing power consumption</w:t>
      </w:r>
      <w:r>
        <w:rPr>
          <w:rFonts w:hint="eastAsia"/>
          <w:lang w:eastAsia="zh-CN"/>
        </w:rPr>
        <w:t xml:space="preserve">. </w:t>
      </w:r>
      <w:r>
        <w:rPr>
          <w:lang w:eastAsia="zh-CN"/>
        </w:rPr>
        <w:t>I</w:t>
      </w:r>
      <w:r>
        <w:rPr>
          <w:rFonts w:hint="eastAsia"/>
          <w:lang w:eastAsia="zh-CN"/>
        </w:rPr>
        <w:t xml:space="preserve">n 6G, larger channel bandwidth could be supported. </w:t>
      </w:r>
      <w:r>
        <w:rPr>
          <w:lang w:eastAsia="zh-CN"/>
        </w:rPr>
        <w:t>F</w:t>
      </w:r>
      <w:r>
        <w:rPr>
          <w:rFonts w:hint="eastAsia"/>
          <w:lang w:eastAsia="zh-CN"/>
        </w:rPr>
        <w:t xml:space="preserve">rom the perspective of improving energy efficiency, the concept of BWP should be further considered in 6G system. </w:t>
      </w:r>
      <w:r>
        <w:rPr>
          <w:lang w:eastAsia="zh-CN"/>
        </w:rPr>
        <w:t>T</w:t>
      </w:r>
      <w:r>
        <w:rPr>
          <w:rFonts w:hint="eastAsia"/>
          <w:lang w:eastAsia="zh-CN"/>
        </w:rPr>
        <w:t xml:space="preserve">he </w:t>
      </w:r>
      <w:r>
        <w:rPr>
          <w:lang w:eastAsia="zh-CN"/>
        </w:rPr>
        <w:t>techniques</w:t>
      </w:r>
      <w:r>
        <w:rPr>
          <w:rFonts w:hint="eastAsia"/>
          <w:lang w:eastAsia="zh-CN"/>
        </w:rPr>
        <w:t xml:space="preserve"> of BWP in 6G would be more efficient and more </w:t>
      </w:r>
      <w:r>
        <w:rPr>
          <w:lang w:eastAsia="zh-CN"/>
        </w:rPr>
        <w:t>robust</w:t>
      </w:r>
      <w:r>
        <w:rPr>
          <w:rFonts w:hint="eastAsia"/>
          <w:lang w:eastAsia="zh-CN"/>
        </w:rPr>
        <w:t>.</w:t>
      </w:r>
    </w:p>
    <w:p w14:paraId="6EB0EF4A">
      <w:pPr>
        <w:rPr>
          <w:lang w:eastAsia="zh-CN"/>
        </w:rPr>
      </w:pPr>
      <w:r>
        <w:rPr>
          <w:lang w:eastAsia="zh-CN"/>
        </w:rPr>
        <w:t>The scalable frequency techniques discussed have direct implications on hardware and PHY design.</w:t>
      </w:r>
      <w:r>
        <w:rPr>
          <w:rFonts w:hint="eastAsia"/>
          <w:lang w:eastAsia="zh-CN"/>
        </w:rPr>
        <w:t xml:space="preserve"> </w:t>
      </w:r>
      <w:r>
        <w:rPr>
          <w:lang w:eastAsia="zh-CN"/>
        </w:rPr>
        <w:t>RAN1 will consider signaling that minimizes how often UEs need to switch bands or BWPs.</w:t>
      </w:r>
      <w:r>
        <w:rPr>
          <w:rFonts w:hint="eastAsia"/>
          <w:lang w:eastAsia="zh-CN"/>
        </w:rPr>
        <w:t xml:space="preserve"> </w:t>
      </w:r>
      <w:r>
        <w:rPr>
          <w:lang w:eastAsia="zh-CN"/>
        </w:rPr>
        <w:t xml:space="preserve">The scheduler may also consider the power cost </w:t>
      </w:r>
      <w:r>
        <w:rPr>
          <w:rFonts w:hint="eastAsia"/>
          <w:lang w:eastAsia="zh-CN"/>
        </w:rPr>
        <w:t>when</w:t>
      </w:r>
      <w:r>
        <w:rPr>
          <w:lang w:eastAsia="zh-CN"/>
        </w:rPr>
        <w:t xml:space="preserve"> assigning resources</w:t>
      </w:r>
      <w:r>
        <w:rPr>
          <w:rFonts w:hint="eastAsia"/>
          <w:lang w:eastAsia="zh-CN"/>
        </w:rPr>
        <w:t xml:space="preserve">. </w:t>
      </w:r>
    </w:p>
    <w:p w14:paraId="63EFB5EE">
      <w:pPr>
        <w:rPr>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18</w:t>
      </w:r>
      <w:r>
        <w:rPr>
          <w:rFonts w:ascii="Times New Roman Bold Italic" w:hAnsi="Times New Roman Bold Italic" w:cs="Times New Roman Bold Italic"/>
          <w:b/>
          <w:bCs/>
          <w:i/>
          <w:iCs/>
          <w:lang w:eastAsia="zh-CN"/>
        </w:rPr>
        <w:t>: Consider scalable frequency-domain techniques to improve energy efficiency for both device and network, including efficient multi-carrier management, BWP adaptation, flexible scheduling.</w:t>
      </w:r>
    </w:p>
    <w:p w14:paraId="575F551F">
      <w:pPr>
        <w:pStyle w:val="3"/>
        <w:rPr>
          <w:lang w:eastAsia="zh-CN"/>
        </w:rPr>
      </w:pPr>
      <w:r>
        <w:rPr>
          <w:lang w:eastAsia="zh-CN"/>
        </w:rPr>
        <w:t xml:space="preserve"> Power domain transmissions</w:t>
      </w:r>
    </w:p>
    <w:p w14:paraId="0B97FABE">
      <w:pPr>
        <w:ind w:firstLine="220" w:firstLineChars="100"/>
        <w:rPr>
          <w:lang w:eastAsia="zh-CN"/>
        </w:rPr>
      </w:pPr>
      <w:r>
        <w:rPr>
          <w:lang w:eastAsia="zh-CN"/>
        </w:rPr>
        <w:t>6G targets step-change improvements in energy efficiency by addressing how transmit power is generated, controlled, and shaped at both the base station and user equipment levels.</w:t>
      </w:r>
    </w:p>
    <w:p w14:paraId="4687F367">
      <w:pPr>
        <w:numPr>
          <w:ilvl w:val="0"/>
          <w:numId w:val="26"/>
        </w:numPr>
        <w:rPr>
          <w:rFonts w:ascii="Times New Roman Bold" w:hAnsi="Times New Roman Bold" w:cs="Times New Roman Bold"/>
          <w:b/>
          <w:bCs/>
          <w:lang w:eastAsia="zh-CN"/>
        </w:rPr>
      </w:pPr>
      <w:r>
        <w:rPr>
          <w:rFonts w:ascii="Times New Roman Bold" w:hAnsi="Times New Roman Bold" w:cs="Times New Roman Bold"/>
          <w:b/>
          <w:bCs/>
          <w:lang w:eastAsia="zh-CN"/>
        </w:rPr>
        <w:t>PA Efficiency as a Core Metric</w:t>
      </w:r>
    </w:p>
    <w:p w14:paraId="6ECC68D4">
      <w:pPr>
        <w:rPr>
          <w:lang w:eastAsia="zh-CN"/>
        </w:rPr>
      </w:pPr>
      <w:r>
        <w:rPr>
          <w:lang w:eastAsia="zh-CN"/>
        </w:rPr>
        <w:t>PAs remain the dominant energy consumer in the RF chain. 6G should push power-added efficiency well beyond 5G levels, especially at high frequencies (FR3 and above) where efficiency naturally drops. For BSs, GaN, advanced Doherty, and dynamic supply modulation including symbol-level tracking can sustain high efficiency across wide bandwidths and varying loads. For UEs, refined envelope tracking and PA modules tailored for new bands can extend battery life. High efficiency over a broad dynamic range reduces wasted heat and supports sustainable operation.</w:t>
      </w:r>
      <w:r>
        <w:rPr>
          <w:rFonts w:hint="eastAsia"/>
          <w:lang w:eastAsia="zh-CN"/>
        </w:rPr>
        <w:t xml:space="preserve"> </w:t>
      </w:r>
    </w:p>
    <w:p w14:paraId="1B0252B2">
      <w:pPr>
        <w:rPr>
          <w:lang w:eastAsia="zh-CN"/>
        </w:rPr>
      </w:pPr>
      <w:r>
        <w:rPr>
          <w:lang w:eastAsia="zh-CN"/>
        </w:rPr>
        <w:t>High-PAPR waveforms like OFDM force large PA back-off, lowering efficiency. 6G should promote low-PAPR designs, e.g., DFT-spread OFDM in more links, constant-envelope or continuous-phase modulation for low-power modes, and advanced PAPR reduction techniques. Lower PAPR enables PAs to run closer to saturation, directly improving bits/Joule, especially critical for battery-powered UEs and high-frequency BS transmitters.</w:t>
      </w:r>
    </w:p>
    <w:p w14:paraId="2382C483">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39</w:t>
      </w:r>
      <w:r>
        <w:rPr>
          <w:rFonts w:ascii="Times New Roman Bold Italic" w:hAnsi="Times New Roman Bold Italic" w:cs="Times New Roman Bold Italic"/>
          <w:b/>
          <w:bCs/>
          <w:i/>
          <w:iCs/>
          <w:lang w:eastAsia="zh-CN"/>
        </w:rPr>
        <w:t>: Lower PAPR enables PAs to run closer to saturation, directly improving</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energy efficiency (bits/J), especially critical for battery-powered UEs and high-frequency BS transmitters.</w:t>
      </w:r>
    </w:p>
    <w:p w14:paraId="11A7D021">
      <w:pPr>
        <w:numPr>
          <w:ilvl w:val="0"/>
          <w:numId w:val="26"/>
        </w:numPr>
        <w:rPr>
          <w:rFonts w:ascii="Times New Roman Bold" w:hAnsi="Times New Roman Bold" w:cs="Times New Roman Bold"/>
          <w:b/>
          <w:bCs/>
          <w:lang w:eastAsia="zh-CN"/>
        </w:rPr>
      </w:pPr>
      <w:r>
        <w:rPr>
          <w:rFonts w:ascii="Times New Roman Bold" w:hAnsi="Times New Roman Bold" w:cs="Times New Roman Bold"/>
          <w:b/>
          <w:bCs/>
          <w:lang w:eastAsia="zh-CN"/>
        </w:rPr>
        <w:t>Power Control and Dynamic Transmission</w:t>
      </w:r>
    </w:p>
    <w:p w14:paraId="16A4103D">
      <w:pPr>
        <w:rPr>
          <w:lang w:eastAsia="zh-CN"/>
        </w:rPr>
      </w:pPr>
      <w:r>
        <w:rPr>
          <w:lang w:eastAsia="zh-CN"/>
        </w:rPr>
        <w:t>Dynamic, context-aware power control will avoid over-provisioning transmit power. BSs can adapt power per beam/user, deactivate antennas, and coordinate across cells to minimize total radiated power. UEs can fine-tune uplink power to just meet link quality targets. In addition, building on 5G’s lean design, 6G could expand deep sleep for both BS and UE PAs, shutting down circuits during idle periods. Wake-up receivers and low-power trigger signals allow rapid reactivation with minimal overhead. This maximizes “off” time without degrading responsiveness, a key factor in lowering average energy consumption.</w:t>
      </w:r>
    </w:p>
    <w:p w14:paraId="275495D1">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40</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E</w:t>
      </w:r>
      <w:r>
        <w:rPr>
          <w:rFonts w:ascii="Times New Roman Bold Italic" w:hAnsi="Times New Roman Bold Italic" w:cs="Times New Roman Bold Italic"/>
          <w:b/>
          <w:bCs/>
          <w:i/>
          <w:iCs/>
          <w:lang w:eastAsia="zh-CN"/>
        </w:rPr>
        <w:t>xpanded deep sleep for both BS and UE PAs, could have some benefits of reducing interference and extending device runtime.</w:t>
      </w:r>
    </w:p>
    <w:p w14:paraId="6964C5A6">
      <w:pPr>
        <w:numPr>
          <w:ilvl w:val="0"/>
          <w:numId w:val="26"/>
        </w:numPr>
        <w:rPr>
          <w:rFonts w:ascii="Times New Roman Bold" w:hAnsi="Times New Roman Bold" w:cs="Times New Roman Bold"/>
          <w:b/>
          <w:bCs/>
          <w:lang w:eastAsia="zh-CN"/>
        </w:rPr>
      </w:pPr>
      <w:r>
        <w:rPr>
          <w:rFonts w:ascii="Times New Roman Bold" w:hAnsi="Times New Roman Bold" w:cs="Times New Roman Bold"/>
          <w:b/>
          <w:bCs/>
          <w:lang w:eastAsia="zh-CN"/>
        </w:rPr>
        <w:t>Linearity vs. Efficiency Trade-offs</w:t>
      </w:r>
    </w:p>
    <w:p w14:paraId="72533065">
      <w:pPr>
        <w:rPr>
          <w:lang w:eastAsia="zh-CN"/>
        </w:rPr>
      </w:pPr>
      <w:r>
        <w:rPr>
          <w:lang w:eastAsia="zh-CN"/>
        </w:rPr>
        <w:t>Strict EVM and ACLR requirements protect signal quality and adjacent channels but constrain PA efficiency. 6G could adopt adaptive emission masks and context-based EVM targets, allowing more non-linearity (and thus higher efficiency) when interference risk is low or modulation order is modest. This requires careful standardization to prevent harmful emissions.</w:t>
      </w:r>
    </w:p>
    <w:p w14:paraId="2367E640">
      <w:pPr>
        <w:rPr>
          <w:lang w:eastAsia="zh-CN"/>
        </w:rPr>
      </w:pPr>
      <w:r>
        <w:rPr>
          <w:lang w:eastAsia="zh-CN"/>
        </w:rPr>
        <w:t xml:space="preserve">RAN4 will be central in defining power classes, emission masks, and possibly new energy KPIs (e.g., Joules/bit, W/user). Power classes may expand to cover </w:t>
      </w:r>
      <w:r>
        <w:rPr>
          <w:rFonts w:hint="eastAsia"/>
          <w:lang w:eastAsia="zh-CN"/>
        </w:rPr>
        <w:t>LPWA devices</w:t>
      </w:r>
      <w:r>
        <w:rPr>
          <w:lang w:eastAsia="zh-CN"/>
        </w:rPr>
        <w:t xml:space="preserve"> and high-power specialized UEs, with efficiency benchmarks. Standards can also formalize signaling for network-controlled sleep/wake and dynamic RF parameter adjustment for energy savings.</w:t>
      </w:r>
    </w:p>
    <w:p w14:paraId="3284836A">
      <w:pPr>
        <w:rPr>
          <w:lang w:eastAsia="zh-CN"/>
        </w:rPr>
      </w:pPr>
      <w:r>
        <w:rPr>
          <w:rFonts w:hint="eastAsia"/>
          <w:b/>
          <w:bCs/>
          <w:i/>
          <w:iCs/>
          <w:lang w:eastAsia="zh-CN"/>
        </w:rPr>
        <w:t xml:space="preserve">Observation </w:t>
      </w:r>
      <w:r>
        <w:rPr>
          <w:rFonts w:hint="default"/>
          <w:b/>
          <w:bCs/>
          <w:i/>
          <w:iCs/>
          <w:lang w:val="en-US" w:eastAsia="zh-CN"/>
        </w:rPr>
        <w:t>41</w:t>
      </w:r>
      <w:r>
        <w:rPr>
          <w:rFonts w:hint="eastAsia"/>
          <w:b/>
          <w:bCs/>
          <w:i/>
          <w:iCs/>
          <w:lang w:eastAsia="zh-CN"/>
        </w:rPr>
        <w:t>：Adaptive emi</w:t>
      </w:r>
      <w:r>
        <w:rPr>
          <w:b/>
          <w:bCs/>
          <w:i/>
          <w:iCs/>
          <w:lang w:eastAsia="zh-CN"/>
        </w:rPr>
        <w:t xml:space="preserve">ssion masks and context-based EVM can allow more non-linearity and thus higher efficiency. Also, power classes may expand to cover </w:t>
      </w:r>
      <w:r>
        <w:rPr>
          <w:rFonts w:hint="eastAsia"/>
          <w:b/>
          <w:bCs/>
          <w:i/>
          <w:iCs/>
          <w:lang w:eastAsia="zh-CN"/>
        </w:rPr>
        <w:t>LPWA devices</w:t>
      </w:r>
      <w:r>
        <w:rPr>
          <w:b/>
          <w:bCs/>
          <w:i/>
          <w:iCs/>
          <w:lang w:eastAsia="zh-CN"/>
        </w:rPr>
        <w:t xml:space="preserve"> and high-power specialized UEs, with efficiency benchmarks.</w:t>
      </w:r>
    </w:p>
    <w:p w14:paraId="348E4857">
      <w:pPr>
        <w:rPr>
          <w:lang w:eastAsia="zh-CN"/>
        </w:rPr>
      </w:pPr>
      <w:r>
        <w:rPr>
          <w:lang w:eastAsia="zh-CN"/>
        </w:rPr>
        <w:t>By combining hardware innovation, waveform design, intelligent control, and supportive standards, 6G can achieve its performance ambitions while sharply improving sustainability.</w:t>
      </w:r>
    </w:p>
    <w:p w14:paraId="26AB7743">
      <w:pPr>
        <w:rPr>
          <w:lang w:eastAsia="zh-CN"/>
        </w:rPr>
      </w:pPr>
      <w:r>
        <w:rPr>
          <w:b/>
          <w:bCs/>
          <w:i/>
          <w:iCs/>
          <w:lang w:eastAsia="zh-CN"/>
        </w:rPr>
        <w:t xml:space="preserve">Proposal </w:t>
      </w:r>
      <w:r>
        <w:rPr>
          <w:rFonts w:hint="default"/>
          <w:b/>
          <w:bCs/>
          <w:i/>
          <w:iCs/>
          <w:lang w:val="en-US" w:eastAsia="zh-CN"/>
        </w:rPr>
        <w:t>19</w:t>
      </w:r>
      <w:r>
        <w:rPr>
          <w:b/>
          <w:bCs/>
          <w:i/>
          <w:iCs/>
          <w:lang w:eastAsia="zh-CN"/>
        </w:rPr>
        <w:t>: Discuss potential power domain transmission technologies to improve sustainability in 6G day 1, at least including lower PAPR considerations, power control considerations, and expanded deep sleep for both BS and UE PAs, a</w:t>
      </w:r>
      <w:r>
        <w:rPr>
          <w:rFonts w:hint="eastAsia"/>
          <w:b/>
          <w:bCs/>
          <w:i/>
          <w:iCs/>
          <w:lang w:eastAsia="zh-CN"/>
        </w:rPr>
        <w:t>daptive emi</w:t>
      </w:r>
      <w:r>
        <w:rPr>
          <w:b/>
          <w:bCs/>
          <w:i/>
          <w:iCs/>
          <w:lang w:eastAsia="zh-CN"/>
        </w:rPr>
        <w:t>ssion masks and context-based EVM in RAN 1.</w:t>
      </w:r>
    </w:p>
    <w:p w14:paraId="3B0BD959">
      <w:pPr>
        <w:rPr>
          <w:lang w:eastAsia="zh-CN"/>
        </w:rPr>
      </w:pPr>
    </w:p>
    <w:p w14:paraId="713A9317">
      <w:pPr>
        <w:pStyle w:val="3"/>
        <w:rPr>
          <w:lang w:eastAsia="zh-CN"/>
        </w:rPr>
      </w:pPr>
      <w:r>
        <w:rPr>
          <w:lang w:eastAsia="zh-CN"/>
        </w:rPr>
        <w:t xml:space="preserve"> Physical air interface technologies for 6GR energy efficiency</w:t>
      </w:r>
    </w:p>
    <w:p w14:paraId="50310D11">
      <w:pPr>
        <w:rPr>
          <w:lang w:eastAsia="zh-CN"/>
        </w:rPr>
      </w:pPr>
      <w:r>
        <w:rPr>
          <w:lang w:eastAsia="zh-CN"/>
        </w:rPr>
        <w:t xml:space="preserve">This </w:t>
      </w:r>
      <w:r>
        <w:rPr>
          <w:rFonts w:hint="eastAsia"/>
          <w:lang w:eastAsia="zh-CN"/>
        </w:rPr>
        <w:t>sub</w:t>
      </w:r>
      <w:r>
        <w:rPr>
          <w:lang w:eastAsia="zh-CN"/>
        </w:rPr>
        <w:t>-section analyzes how key physical layer design elements (e.g., waveform, modulation, coding/FEC, frame structure, and sequence design) affect 6G energy efficiency. It highlights techniques such as SC-FDMA, constant-envelope modulation, low-complexity FEC, deep sleep frame design, and robust wake-up sequences as critical for reducing UE power consumption, improving PA efficiency, and enabling ultra-low-power operation across diverse 6G use cases.</w:t>
      </w:r>
    </w:p>
    <w:p w14:paraId="232E8EB0">
      <w:pPr>
        <w:numPr>
          <w:ilvl w:val="0"/>
          <w:numId w:val="27"/>
        </w:numPr>
        <w:rPr>
          <w:lang w:eastAsia="zh-CN"/>
        </w:rPr>
      </w:pPr>
      <w:r>
        <w:rPr>
          <w:rFonts w:ascii="Times New Roman Bold" w:hAnsi="Times New Roman Bold" w:cs="Times New Roman Bold"/>
          <w:b/>
          <w:bCs/>
          <w:lang w:eastAsia="zh-CN"/>
        </w:rPr>
        <w:t>Waveform Selection and PAPR Efficiency:</w:t>
      </w:r>
      <w:r>
        <w:rPr>
          <w:lang w:eastAsia="zh-CN"/>
        </w:rPr>
        <w:t xml:space="preserve"> OFDM is spectrally efficient but has high PAPR, reducing PA efficiency. Uplink SC-FDMA lowers PAPR, letting UEs operate PAs closer to saturation. NB-IoT’s single-tone uplink offers constant-envelope transmission with minimal PA back-off. For LP-WUS or LP-SS, hybrid OFDM-OOK encodes bits as the presence/absence of energy in each OFDM symbol, enabling simple envelope detection while remaining NR-compatible. Future 6G may deploy multiple waveforms, include that standard OFDM for high-rate users and ultra-narrowband constant-envelope schemes for LPWA devices or WUR. This flexible approach balances spectral coexistence with device power constraints, allowing efficient operation across diverse 6G use cases.</w:t>
      </w:r>
    </w:p>
    <w:p w14:paraId="4F3F9B54">
      <w:pPr>
        <w:numPr>
          <w:ilvl w:val="0"/>
          <w:numId w:val="28"/>
        </w:numPr>
        <w:rPr>
          <w:lang w:eastAsia="zh-CN"/>
        </w:rPr>
      </w:pPr>
      <w:r>
        <w:rPr>
          <w:rFonts w:ascii="Times New Roman Bold" w:hAnsi="Times New Roman Bold" w:cs="Times New Roman Bold"/>
          <w:b/>
          <w:bCs/>
          <w:lang w:eastAsia="zh-CN"/>
        </w:rPr>
        <w:t>Modulation Schemes and PA Efficiency:</w:t>
      </w:r>
      <w:r>
        <w:rPr>
          <w:lang w:eastAsia="zh-CN"/>
        </w:rPr>
        <w:t xml:space="preserve"> Low-order constant-envelope modulations (e.g., BPSK or QPSK) reduce PA linearity needs and decoding complexity. BPSK offers ~3 dB SNR gain over OOK and supports high PA efficiency. pi/2-BPSK in NR uplink further lowers PAPR. OOK enables ultra-simple envelope detection for passive or wake-up reception but suffers from noise sensitivity, requiring strong FEC or low rates. FSK and CP-FSK provide non-coherent detection with robustness at low SNR, at the expense of bandwidth efficiency. 6G should adapt modulation choice to LPWA device energy budgets: e.g., OOK for wake-up, BPSK/QPSK for active low-power uplink, and FSK variants for passive multi-tag scenarios.</w:t>
      </w:r>
    </w:p>
    <w:p w14:paraId="67D3C480">
      <w:pPr>
        <w:numPr>
          <w:ilvl w:val="0"/>
          <w:numId w:val="28"/>
        </w:numPr>
        <w:rPr>
          <w:lang w:eastAsia="zh-CN"/>
        </w:rPr>
      </w:pPr>
      <w:r>
        <w:rPr>
          <w:rFonts w:ascii="Times New Roman Bold" w:hAnsi="Times New Roman Bold" w:cs="Times New Roman Bold"/>
          <w:b/>
          <w:bCs/>
          <w:lang w:eastAsia="zh-CN"/>
        </w:rPr>
        <w:t>Channel Coding and Repetition:</w:t>
      </w:r>
      <w:r>
        <w:rPr>
          <w:lang w:eastAsia="zh-CN"/>
        </w:rPr>
        <w:t xml:space="preserve"> FEC improves link budget but must minimize decoding energy. NB-IoT uses convolutional codes with Viterbi decoding for low complexity, relying on low rates and heavy repetition for coverage. High-throughput LDPC/Polar codes suit broadband but are inefficient for short IoT messages. For ultra-low-power 6G, short-block or non-iterative codes may be preferable. Repetition enhances reliability without increasing per-bit energy but adds latency and resource use. Adaptive repetition, adjusting repeat count and frequency hopping based on channel, can avoid excess energy use while maintaining robust coverage.</w:t>
      </w:r>
    </w:p>
    <w:p w14:paraId="374A0F94">
      <w:pPr>
        <w:numPr>
          <w:ilvl w:val="0"/>
          <w:numId w:val="28"/>
        </w:numPr>
        <w:rPr>
          <w:lang w:eastAsia="zh-CN"/>
        </w:rPr>
      </w:pPr>
      <w:r>
        <w:rPr>
          <w:rFonts w:ascii="Times New Roman Bold" w:hAnsi="Times New Roman Bold" w:cs="Times New Roman Bold"/>
          <w:b/>
          <w:bCs/>
          <w:lang w:eastAsia="zh-CN"/>
        </w:rPr>
        <w:t>Frame Structure and Sleep Modes:</w:t>
      </w:r>
      <w:r>
        <w:rPr>
          <w:lang w:eastAsia="zh-CN"/>
        </w:rPr>
        <w:t xml:space="preserve"> Efficient frame design maximizes device sleep time. 5G’s RRC Inactive with Wake-Up Signals reduces idle listening. For active sessions, persistent or grouped scheduling reduces frequent wake-ups. For example, for small IoT payloads, larger-granularity resource assignments lower overhead compared to frequent mini-slot scheduling, aligning active time with data needs and extending battery life.</w:t>
      </w:r>
    </w:p>
    <w:p w14:paraId="1BF2223E">
      <w:pPr>
        <w:numPr>
          <w:ilvl w:val="0"/>
          <w:numId w:val="28"/>
        </w:numPr>
        <w:rPr>
          <w:lang w:eastAsia="zh-CN"/>
        </w:rPr>
      </w:pPr>
      <w:r>
        <w:rPr>
          <w:rFonts w:ascii="Times New Roman Bold" w:hAnsi="Times New Roman Bold" w:cs="Times New Roman Bold"/>
          <w:b/>
          <w:bCs/>
          <w:lang w:eastAsia="zh-CN"/>
        </w:rPr>
        <w:t>Sequence Design and (LP-)WUS</w:t>
      </w:r>
      <w:r>
        <w:rPr>
          <w:lang w:eastAsia="zh-CN"/>
        </w:rPr>
        <w:t xml:space="preserve">: Special sequences enable low-power wake-up and synchronization. WUS/LP-WUS patterns in 5G allow targeted paging group activation; in 6G, unique sequences per device/group could further minimize false wakes. Sequences should be low cross-correlation, noise-robust, and detectable by simple energy detectors. </w:t>
      </w:r>
    </w:p>
    <w:p w14:paraId="6F1672CB">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42</w:t>
      </w:r>
      <w:r>
        <w:rPr>
          <w:rFonts w:ascii="Times New Roman Bold Italic" w:hAnsi="Times New Roman Bold Italic" w:cs="Times New Roman Bold Italic"/>
          <w:b/>
          <w:bCs/>
          <w:i/>
          <w:iCs/>
          <w:lang w:eastAsia="zh-CN"/>
        </w:rPr>
        <w:t>: Some physical air interface techniques such as SC-FDMA, constant-envelope modulation, low-complexity FEC, deep sleep frame design, and robust wake-up sequences is needed for reducing UE power consumption, improving PA efficiency, and enabling ultra-low-power operation across diverse 6G use cases.</w:t>
      </w:r>
    </w:p>
    <w:p w14:paraId="476D1033">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20</w:t>
      </w:r>
      <w:r>
        <w:rPr>
          <w:rFonts w:ascii="Times New Roman Bold Italic" w:hAnsi="Times New Roman Bold Italic" w:cs="Times New Roman Bold Italic"/>
          <w:b/>
          <w:bCs/>
          <w:i/>
          <w:iCs/>
          <w:lang w:eastAsia="zh-CN"/>
        </w:rPr>
        <w:t xml:space="preserve">: Discussion on </w:t>
      </w:r>
      <w:r>
        <w:rPr>
          <w:rFonts w:hint="eastAsia" w:ascii="Times New Roman Bold Italic" w:hAnsi="Times New Roman Bold Italic" w:cs="Times New Roman Bold Italic"/>
          <w:b/>
          <w:bCs/>
          <w:i/>
          <w:iCs/>
          <w:lang w:eastAsia="zh-CN"/>
        </w:rPr>
        <w:t>how</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to</w:t>
      </w:r>
      <w:r>
        <w:rPr>
          <w:rFonts w:ascii="Times New Roman Bold Italic" w:hAnsi="Times New Roman Bold Italic" w:cs="Times New Roman Bold Italic"/>
          <w:b/>
          <w:bCs/>
          <w:i/>
          <w:iCs/>
          <w:lang w:eastAsia="zh-CN"/>
        </w:rPr>
        <w:t xml:space="preserve"> include</w:t>
      </w:r>
      <w:r>
        <w:rPr>
          <w:rFonts w:hint="eastAsia" w:ascii="Times New Roman Bold Italic" w:hAnsi="Times New Roman Bold Italic" w:cs="Times New Roman Bold Italic"/>
          <w:b/>
          <w:bCs/>
          <w:i/>
          <w:iCs/>
          <w:lang w:eastAsia="zh-CN"/>
        </w:rPr>
        <w:t xml:space="preserve"> the</w:t>
      </w:r>
      <w:r>
        <w:rPr>
          <w:rFonts w:ascii="Times New Roman Bold Italic" w:hAnsi="Times New Roman Bold Italic" w:cs="Times New Roman Bold Italic"/>
          <w:b/>
          <w:bCs/>
          <w:i/>
          <w:iCs/>
          <w:lang w:eastAsia="zh-CN"/>
        </w:rPr>
        <w:t xml:space="preserve"> impact of physical air interface design (e.g., waveform, coding, frame structure, sequence design, etc.) in 6G energy efficiency from day 1. </w:t>
      </w:r>
    </w:p>
    <w:p w14:paraId="293F71DA">
      <w:pPr>
        <w:pBdr>
          <w:bottom w:val="single" w:color="auto" w:sz="4" w:space="1"/>
        </w:pBdr>
        <w:spacing w:after="0"/>
        <w:jc w:val="left"/>
        <w:rPr>
          <w:b/>
          <w:kern w:val="2"/>
          <w:sz w:val="16"/>
          <w:szCs w:val="16"/>
          <w:lang w:eastAsia="zh-CN"/>
        </w:rPr>
      </w:pPr>
    </w:p>
    <w:p w14:paraId="74B8D9AC">
      <w:pPr>
        <w:pStyle w:val="2"/>
      </w:pPr>
      <w:r>
        <w:rPr>
          <w:rFonts w:hint="eastAsia"/>
          <w:lang w:eastAsia="zh-CN"/>
        </w:rPr>
        <w:t xml:space="preserve"> </w:t>
      </w:r>
      <w:r>
        <w:t>Conclusion</w:t>
      </w:r>
      <w:r>
        <w:rPr>
          <w:rFonts w:hint="eastAsia"/>
          <w:lang w:val="en-US" w:eastAsia="zh-CN"/>
        </w:rPr>
        <w:t>s</w:t>
      </w:r>
    </w:p>
    <w:p w14:paraId="520EBAFB">
      <w:pPr>
        <w:rPr>
          <w:rFonts w:eastAsia="等线"/>
          <w:lang w:eastAsia="zh-CN"/>
        </w:rPr>
      </w:pPr>
      <w:r>
        <w:t xml:space="preserve">In this contribution, we discussed </w:t>
      </w:r>
      <w:r>
        <w:rPr>
          <w:rFonts w:hint="eastAsia"/>
          <w:lang w:eastAsia="zh-CN"/>
        </w:rPr>
        <w:t>the</w:t>
      </w:r>
      <w:r>
        <w:rPr>
          <w:lang w:eastAsia="zh-CN"/>
        </w:rPr>
        <w:t xml:space="preserve"> </w:t>
      </w:r>
      <w:r>
        <w:rPr>
          <w:rFonts w:hint="eastAsia" w:eastAsia="等线"/>
          <w:lang w:eastAsia="zh-CN"/>
        </w:rPr>
        <w:t>background on energy-saving techniques from LTE through 5G</w:t>
      </w:r>
      <w:r>
        <w:rPr>
          <w:rFonts w:eastAsia="等线"/>
          <w:lang w:eastAsia="zh-CN"/>
        </w:rPr>
        <w:t>, terminal types or terminal mode considerations to consider energy savings, and i</w:t>
      </w:r>
      <w:r>
        <w:rPr>
          <w:rFonts w:hint="eastAsia" w:eastAsia="等线"/>
          <w:lang w:eastAsia="zh-CN"/>
        </w:rPr>
        <w:t xml:space="preserve">dentified technical challenges and potential solutions for 6G in network, </w:t>
      </w:r>
      <w:r>
        <w:rPr>
          <w:rFonts w:eastAsia="等线"/>
          <w:lang w:eastAsia="zh-CN"/>
        </w:rPr>
        <w:t>terminal</w:t>
      </w:r>
      <w:r>
        <w:rPr>
          <w:rFonts w:hint="eastAsia" w:eastAsia="等线"/>
          <w:lang w:eastAsia="zh-CN"/>
        </w:rPr>
        <w:t>, and collaborative domains.</w:t>
      </w:r>
      <w:r>
        <w:rPr>
          <w:rFonts w:eastAsia="等线"/>
          <w:lang w:eastAsia="zh-CN"/>
        </w:rPr>
        <w:t xml:space="preserve"> </w:t>
      </w:r>
    </w:p>
    <w:p w14:paraId="0CABA767">
      <w:pPr>
        <w:numPr>
          <w:ilvl w:val="0"/>
          <w:numId w:val="0"/>
        </w:numPr>
        <w:outlineLvl w:val="1"/>
        <w:rPr>
          <w:rFonts w:ascii="Times New Roman Bold Italic" w:hAnsi="Times New Roman Bold Italic" w:eastAsia="等线" w:cs="Times New Roman Bold Italic"/>
          <w:b/>
          <w:bCs/>
          <w:i/>
          <w:iCs/>
          <w:highlight w:val="yellow"/>
          <w:u w:val="single"/>
          <w:lang w:eastAsia="zh-CN"/>
        </w:rPr>
      </w:pPr>
      <w:r>
        <w:rPr>
          <w:rFonts w:hint="eastAsia" w:ascii="Times New Roman Bold Italic" w:hAnsi="Times New Roman Bold Italic" w:eastAsia="等线" w:cs="Times New Roman Bold Italic"/>
          <w:b/>
          <w:bCs/>
          <w:i/>
          <w:iCs/>
          <w:highlight w:val="yellow"/>
          <w:u w:val="single"/>
          <w:lang w:val="en-US" w:eastAsia="zh-CN"/>
        </w:rPr>
        <w:t xml:space="preserve">6.1 </w:t>
      </w:r>
      <w:r>
        <w:rPr>
          <w:rFonts w:ascii="Times New Roman Bold Italic" w:hAnsi="Times New Roman Bold Italic" w:eastAsia="等线" w:cs="Times New Roman Bold Italic"/>
          <w:b/>
          <w:bCs/>
          <w:i/>
          <w:iCs/>
          <w:highlight w:val="yellow"/>
          <w:u w:val="single"/>
          <w:lang w:eastAsia="zh-CN"/>
        </w:rPr>
        <w:t>UE types aspects</w:t>
      </w:r>
    </w:p>
    <w:p w14:paraId="28996F7D">
      <w:pPr>
        <w:rPr>
          <w:rFonts w:eastAsia="等线"/>
          <w:lang w:eastAsia="zh-CN"/>
        </w:rPr>
      </w:pPr>
      <w:r>
        <w:rPr>
          <w:rFonts w:ascii="Times New Roman Bold Italic" w:hAnsi="Times New Roman Bold Italic" w:cs="Times New Roman Bold Italic"/>
          <w:b/>
          <w:bCs/>
          <w:i/>
          <w:iCs/>
        </w:rPr>
        <w:t xml:space="preserve">Observation 1: 3GPP has </w:t>
      </w:r>
      <w:r>
        <w:rPr>
          <w:rFonts w:hint="eastAsia" w:ascii="Times New Roman Bold Italic" w:hAnsi="Times New Roman Bold Italic" w:cs="Times New Roman Bold Italic"/>
          <w:b/>
          <w:bCs/>
          <w:i/>
          <w:iCs/>
          <w:lang w:eastAsia="zh-CN"/>
        </w:rPr>
        <w:t>supported</w:t>
      </w:r>
      <w:r>
        <w:rPr>
          <w:rFonts w:ascii="Times New Roman Bold Italic" w:hAnsi="Times New Roman Bold Italic" w:cs="Times New Roman Bold Italic"/>
          <w:b/>
          <w:bCs/>
          <w:i/>
          <w:iCs/>
        </w:rPr>
        <w:t xml:space="preserve"> different terminal types in terms of power consumption characteristics, functional capabilities, and physical-layer air interface technologies including NB-IoT, LTE Cat-M1, NR (e)RedCap, and NR eMBB.</w:t>
      </w:r>
    </w:p>
    <w:p w14:paraId="6B45E09D">
      <w:pPr>
        <w:pStyle w:val="5"/>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rPr>
        <w:t>Observation 2:</w:t>
      </w:r>
      <w:r>
        <w:rPr>
          <w:rFonts w:ascii="Times New Roman Bold Italic" w:hAnsi="Times New Roman Bold Italic" w:cs="Times New Roman Bold Italic"/>
          <w:b/>
          <w:bCs/>
          <w:i/>
          <w:iCs/>
          <w:sz w:val="22"/>
          <w:szCs w:val="22"/>
          <w:lang w:eastAsia="zh-CN"/>
        </w:rPr>
        <w:t xml:space="preserve"> From table </w:t>
      </w:r>
      <w:r>
        <w:rPr>
          <w:rFonts w:hint="eastAsia" w:ascii="Times New Roman Bold Italic" w:hAnsi="Times New Roman Bold Italic" w:cs="Times New Roman Bold Italic"/>
          <w:b/>
          <w:bCs/>
          <w:i/>
          <w:iCs/>
          <w:sz w:val="22"/>
          <w:szCs w:val="22"/>
          <w:lang w:eastAsia="zh-CN"/>
        </w:rPr>
        <w:t>2</w:t>
      </w:r>
      <w:r>
        <w:rPr>
          <w:rFonts w:ascii="Times New Roman Bold Italic" w:hAnsi="Times New Roman Bold Italic" w:cs="Times New Roman Bold Italic"/>
          <w:b/>
          <w:bCs/>
          <w:i/>
          <w:iCs/>
          <w:sz w:val="22"/>
          <w:szCs w:val="22"/>
          <w:lang w:eastAsia="zh-CN"/>
        </w:rPr>
        <w:t>, it could be observed that NB-IoT with lower power consumption has higher CFO/SFO compared with LTE Cat-M, NR RedCapand NR eMBB.</w:t>
      </w:r>
    </w:p>
    <w:p w14:paraId="6E19B3CE">
      <w:pPr>
        <w:jc w:val="left"/>
        <w:rPr>
          <w:rFonts w:ascii="Times New Roman Italic" w:hAnsi="Times New Roman Italic" w:cs="Times New Roman Italic"/>
          <w:i/>
          <w:iCs/>
          <w:lang w:eastAsia="zh-CN"/>
        </w:rPr>
      </w:pPr>
      <w:r>
        <w:rPr>
          <w:rFonts w:ascii="Times New Roman Italic" w:hAnsi="Times New Roman Italic" w:cs="Times New Roman Italic"/>
          <w:i/>
          <w:iCs/>
          <w:lang w:eastAsia="zh-CN"/>
        </w:rPr>
        <w:t>Table 2 SFO/CFO comparison of different terminal types</w:t>
      </w:r>
    </w:p>
    <w:tbl>
      <w:tblPr>
        <w:tblStyle w:val="28"/>
        <w:tblW w:w="94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2123"/>
        <w:gridCol w:w="1809"/>
        <w:gridCol w:w="1955"/>
        <w:gridCol w:w="1967"/>
      </w:tblGrid>
      <w:tr w14:paraId="07FB2552">
        <w:tc>
          <w:tcPr>
            <w:tcW w:w="1364" w:type="dxa"/>
            <w:shd w:val="clear" w:color="auto" w:fill="auto"/>
            <w:vAlign w:val="center"/>
          </w:tcPr>
          <w:p w14:paraId="35DA8692">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Terminal Type</w:t>
            </w:r>
          </w:p>
        </w:tc>
        <w:tc>
          <w:tcPr>
            <w:tcW w:w="2178" w:type="dxa"/>
            <w:shd w:val="clear" w:color="auto" w:fill="auto"/>
            <w:vAlign w:val="center"/>
          </w:tcPr>
          <w:p w14:paraId="7FE65503">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CFO Tolerance (Normal Operation)</w:t>
            </w:r>
          </w:p>
        </w:tc>
        <w:tc>
          <w:tcPr>
            <w:tcW w:w="1849" w:type="dxa"/>
            <w:shd w:val="clear" w:color="auto" w:fill="auto"/>
            <w:vAlign w:val="center"/>
          </w:tcPr>
          <w:p w14:paraId="0E277306">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CFO Tolerance (Initial Sync)</w:t>
            </w:r>
          </w:p>
        </w:tc>
        <w:tc>
          <w:tcPr>
            <w:tcW w:w="2002" w:type="dxa"/>
            <w:shd w:val="clear" w:color="auto" w:fill="auto"/>
            <w:vAlign w:val="center"/>
          </w:tcPr>
          <w:p w14:paraId="480BFAE9">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SFO Stability (Sampling Offset)</w:t>
            </w:r>
          </w:p>
        </w:tc>
        <w:tc>
          <w:tcPr>
            <w:tcW w:w="2024" w:type="dxa"/>
            <w:shd w:val="clear" w:color="auto" w:fill="auto"/>
            <w:vAlign w:val="center"/>
          </w:tcPr>
          <w:p w14:paraId="32D8752F">
            <w:pPr>
              <w:widowControl/>
              <w:jc w:val="center"/>
              <w:rPr>
                <w:rFonts w:ascii="Times New Roman Regular" w:hAnsi="Times New Roman Regular" w:cs="Times New Roman Regular"/>
                <w:bCs/>
                <w:lang w:eastAsia="zh-CN"/>
              </w:rPr>
            </w:pPr>
            <w:r>
              <w:rPr>
                <w:rFonts w:ascii="Times New Roman Regular" w:hAnsi="Times New Roman Regular" w:cs="Times New Roman Regular"/>
                <w:bCs/>
                <w:sz w:val="24"/>
                <w:szCs w:val="24"/>
                <w:lang w:eastAsia="zh-CN" w:bidi="ar"/>
              </w:rPr>
              <w:t>Notes</w:t>
            </w:r>
          </w:p>
        </w:tc>
      </w:tr>
      <w:tr w14:paraId="0CAB6A9B">
        <w:tc>
          <w:tcPr>
            <w:tcW w:w="1364" w:type="dxa"/>
            <w:shd w:val="clear" w:color="auto" w:fill="auto"/>
            <w:vAlign w:val="center"/>
          </w:tcPr>
          <w:p w14:paraId="78C205CC">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NB-IoT</w:t>
            </w:r>
          </w:p>
        </w:tc>
        <w:tc>
          <w:tcPr>
            <w:tcW w:w="2178" w:type="dxa"/>
            <w:shd w:val="clear" w:color="auto" w:fill="auto"/>
            <w:vAlign w:val="center"/>
          </w:tcPr>
          <w:p w14:paraId="421E25BE">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±20 ppm</w:t>
            </w:r>
          </w:p>
        </w:tc>
        <w:tc>
          <w:tcPr>
            <w:tcW w:w="1849" w:type="dxa"/>
            <w:shd w:val="clear" w:color="auto" w:fill="auto"/>
            <w:vAlign w:val="center"/>
          </w:tcPr>
          <w:p w14:paraId="4CC5E2C1">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±20 ppm</w:t>
            </w:r>
          </w:p>
        </w:tc>
        <w:tc>
          <w:tcPr>
            <w:tcW w:w="2002" w:type="dxa"/>
            <w:shd w:val="clear" w:color="auto" w:fill="auto"/>
            <w:vAlign w:val="center"/>
          </w:tcPr>
          <w:p w14:paraId="03CA53C3">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±20 ppm</w:t>
            </w:r>
          </w:p>
        </w:tc>
        <w:tc>
          <w:tcPr>
            <w:tcW w:w="2024" w:type="dxa"/>
            <w:shd w:val="clear" w:color="auto" w:fill="auto"/>
            <w:vAlign w:val="center"/>
          </w:tcPr>
          <w:p w14:paraId="70F1DF30">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Includes Doppler; low-cost crystal</w:t>
            </w:r>
          </w:p>
        </w:tc>
      </w:tr>
      <w:tr w14:paraId="3D1DA66F">
        <w:tc>
          <w:tcPr>
            <w:tcW w:w="1364" w:type="dxa"/>
            <w:shd w:val="clear" w:color="auto" w:fill="auto"/>
            <w:vAlign w:val="center"/>
          </w:tcPr>
          <w:p w14:paraId="13480B74">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LTE Cat-M</w:t>
            </w:r>
          </w:p>
        </w:tc>
        <w:tc>
          <w:tcPr>
            <w:tcW w:w="2178" w:type="dxa"/>
            <w:shd w:val="clear" w:color="auto" w:fill="auto"/>
            <w:vAlign w:val="center"/>
          </w:tcPr>
          <w:p w14:paraId="300B7465">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1849" w:type="dxa"/>
            <w:shd w:val="clear" w:color="auto" w:fill="auto"/>
            <w:vAlign w:val="center"/>
          </w:tcPr>
          <w:p w14:paraId="1378DDB2">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±0.5 ppm</w:t>
            </w:r>
          </w:p>
        </w:tc>
        <w:tc>
          <w:tcPr>
            <w:tcW w:w="2002" w:type="dxa"/>
            <w:shd w:val="clear" w:color="auto" w:fill="auto"/>
            <w:vAlign w:val="center"/>
          </w:tcPr>
          <w:p w14:paraId="03A56467">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2024" w:type="dxa"/>
            <w:shd w:val="clear" w:color="auto" w:fill="auto"/>
            <w:vAlign w:val="center"/>
          </w:tcPr>
          <w:p w14:paraId="3F7176BD">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Same as LTE</w:t>
            </w:r>
          </w:p>
        </w:tc>
      </w:tr>
      <w:tr w14:paraId="403084AA">
        <w:tc>
          <w:tcPr>
            <w:tcW w:w="1364" w:type="dxa"/>
            <w:shd w:val="clear" w:color="auto" w:fill="auto"/>
            <w:vAlign w:val="center"/>
          </w:tcPr>
          <w:p w14:paraId="7A36B96B">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NR RedCap(FR1)</w:t>
            </w:r>
          </w:p>
        </w:tc>
        <w:tc>
          <w:tcPr>
            <w:tcW w:w="2178" w:type="dxa"/>
            <w:shd w:val="clear" w:color="auto" w:fill="auto"/>
            <w:vAlign w:val="center"/>
          </w:tcPr>
          <w:p w14:paraId="4EE7AD63">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1849" w:type="dxa"/>
            <w:shd w:val="clear" w:color="auto" w:fill="auto"/>
            <w:vAlign w:val="center"/>
          </w:tcPr>
          <w:p w14:paraId="03BA06FB">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±0.5 ppm</w:t>
            </w:r>
          </w:p>
        </w:tc>
        <w:tc>
          <w:tcPr>
            <w:tcW w:w="2002" w:type="dxa"/>
            <w:shd w:val="clear" w:color="auto" w:fill="auto"/>
            <w:vAlign w:val="center"/>
          </w:tcPr>
          <w:p w14:paraId="1BCDB36F">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2024" w:type="dxa"/>
            <w:shd w:val="clear" w:color="auto" w:fill="auto"/>
            <w:vAlign w:val="center"/>
          </w:tcPr>
          <w:p w14:paraId="5C757836">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Same as standard NR</w:t>
            </w:r>
          </w:p>
        </w:tc>
      </w:tr>
      <w:tr w14:paraId="08BE5EFF">
        <w:tc>
          <w:tcPr>
            <w:tcW w:w="1364" w:type="dxa"/>
            <w:shd w:val="clear" w:color="auto" w:fill="auto"/>
            <w:vAlign w:val="center"/>
          </w:tcPr>
          <w:p w14:paraId="18465ED4">
            <w:pPr>
              <w:widowControl/>
              <w:jc w:val="left"/>
              <w:rPr>
                <w:rFonts w:ascii="Times New Roman Regular" w:hAnsi="Times New Roman Regular" w:cs="Times New Roman Regular"/>
                <w:lang w:eastAsia="zh-CN"/>
              </w:rPr>
            </w:pPr>
            <w:r>
              <w:rPr>
                <w:rStyle w:val="30"/>
                <w:rFonts w:ascii="Times New Roman Regular" w:hAnsi="Times New Roman Regular" w:cs="Times New Roman Regular"/>
                <w:b w:val="0"/>
                <w:sz w:val="24"/>
                <w:szCs w:val="24"/>
                <w:lang w:eastAsia="zh-CN" w:bidi="ar"/>
              </w:rPr>
              <w:t>5G eMBB (FR1)</w:t>
            </w:r>
          </w:p>
        </w:tc>
        <w:tc>
          <w:tcPr>
            <w:tcW w:w="2178" w:type="dxa"/>
            <w:shd w:val="clear" w:color="auto" w:fill="auto"/>
            <w:vAlign w:val="center"/>
          </w:tcPr>
          <w:p w14:paraId="71CC20AB">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1849" w:type="dxa"/>
            <w:shd w:val="clear" w:color="auto" w:fill="auto"/>
            <w:vAlign w:val="center"/>
          </w:tcPr>
          <w:p w14:paraId="45C989C7">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±0.5 ppm</w:t>
            </w:r>
          </w:p>
        </w:tc>
        <w:tc>
          <w:tcPr>
            <w:tcW w:w="2002" w:type="dxa"/>
            <w:shd w:val="clear" w:color="auto" w:fill="auto"/>
            <w:vAlign w:val="center"/>
          </w:tcPr>
          <w:p w14:paraId="605EC982">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±0.1 ppm</w:t>
            </w:r>
          </w:p>
        </w:tc>
        <w:tc>
          <w:tcPr>
            <w:tcW w:w="2024" w:type="dxa"/>
            <w:shd w:val="clear" w:color="auto" w:fill="auto"/>
            <w:vAlign w:val="center"/>
          </w:tcPr>
          <w:p w14:paraId="32AA449A">
            <w:pPr>
              <w:widowControl/>
              <w:jc w:val="left"/>
              <w:rPr>
                <w:rFonts w:ascii="Times New Roman Regular" w:hAnsi="Times New Roman Regular" w:cs="Times New Roman Regular"/>
                <w:lang w:eastAsia="zh-CN"/>
              </w:rPr>
            </w:pPr>
            <w:r>
              <w:rPr>
                <w:rFonts w:ascii="Times New Roman Regular" w:hAnsi="Times New Roman Regular" w:cs="Times New Roman Regular"/>
                <w:sz w:val="24"/>
                <w:szCs w:val="24"/>
                <w:lang w:eastAsia="zh-CN" w:bidi="ar"/>
              </w:rPr>
              <w:t>FR2 stricter: ~±0.05 ppm</w:t>
            </w:r>
          </w:p>
        </w:tc>
      </w:tr>
    </w:tbl>
    <w:p w14:paraId="2D3DC6B5">
      <w:pPr>
        <w:pStyle w:val="5"/>
        <w:rPr>
          <w:rFonts w:ascii="Times New Roman Bold" w:hAnsi="Times New Roman Bold" w:cs="Times New Roman Bold"/>
          <w:b/>
          <w:bCs/>
          <w:lang w:eastAsia="zh-CN"/>
        </w:rPr>
      </w:pPr>
    </w:p>
    <w:p w14:paraId="6E2F411D">
      <w:pPr>
        <w:pStyle w:val="5"/>
        <w:rPr>
          <w:rFonts w:ascii="Times New Roman Bold Italic" w:hAnsi="Times New Roman Bold Italic" w:cs="Times New Roman Bold Italic"/>
          <w:b/>
          <w:bCs/>
          <w:i/>
          <w:iCs/>
          <w:sz w:val="24"/>
          <w:szCs w:val="24"/>
          <w:lang w:eastAsia="zh-CN"/>
        </w:rPr>
      </w:pPr>
      <w:r>
        <w:rPr>
          <w:rFonts w:ascii="Times New Roman Bold Italic" w:hAnsi="Times New Roman Bold Italic" w:cs="Times New Roman Bold Italic"/>
          <w:b/>
          <w:bCs/>
          <w:i/>
          <w:iCs/>
          <w:sz w:val="24"/>
          <w:szCs w:val="24"/>
        </w:rPr>
        <w:t>Observation 3:</w:t>
      </w:r>
      <w:r>
        <w:rPr>
          <w:rFonts w:ascii="Times New Roman Bold Italic" w:hAnsi="Times New Roman Bold Italic" w:cs="Times New Roman Bold Italic"/>
          <w:b/>
          <w:bCs/>
          <w:i/>
          <w:iCs/>
          <w:sz w:val="24"/>
          <w:szCs w:val="24"/>
          <w:lang w:eastAsia="zh-CN"/>
        </w:rPr>
        <w:t xml:space="preserve"> If </w:t>
      </w:r>
      <w:r>
        <w:rPr>
          <w:rFonts w:hint="eastAsia" w:ascii="Times New Roman Bold Italic" w:hAnsi="Times New Roman Bold Italic" w:cs="Times New Roman Bold Italic"/>
          <w:b/>
          <w:bCs/>
          <w:i/>
          <w:iCs/>
          <w:sz w:val="24"/>
          <w:szCs w:val="24"/>
          <w:lang w:eastAsia="zh-CN"/>
        </w:rPr>
        <w:t>diverse terminal</w:t>
      </w:r>
      <w:r>
        <w:rPr>
          <w:rFonts w:ascii="Times New Roman Bold Italic" w:hAnsi="Times New Roman Bold Italic" w:cs="Times New Roman Bold Italic"/>
          <w:b/>
          <w:bCs/>
          <w:i/>
          <w:iCs/>
          <w:sz w:val="24"/>
          <w:szCs w:val="24"/>
          <w:lang w:eastAsia="zh-CN"/>
        </w:rPr>
        <w:t xml:space="preserve"> </w:t>
      </w:r>
      <w:r>
        <w:rPr>
          <w:rFonts w:hint="eastAsia" w:ascii="Times New Roman Bold Italic" w:hAnsi="Times New Roman Bold Italic" w:cs="Times New Roman Bold Italic"/>
          <w:b/>
          <w:bCs/>
          <w:i/>
          <w:iCs/>
          <w:sz w:val="24"/>
          <w:szCs w:val="24"/>
          <w:lang w:eastAsia="zh-CN"/>
        </w:rPr>
        <w:t>being</w:t>
      </w:r>
      <w:r>
        <w:rPr>
          <w:rFonts w:ascii="Times New Roman Bold Italic" w:hAnsi="Times New Roman Bold Italic" w:cs="Times New Roman Bold Italic"/>
          <w:b/>
          <w:bCs/>
          <w:i/>
          <w:iCs/>
          <w:sz w:val="24"/>
          <w:szCs w:val="24"/>
          <w:lang w:eastAsia="zh-CN"/>
        </w:rPr>
        <w:t xml:space="preserve"> </w:t>
      </w:r>
      <w:r>
        <w:rPr>
          <w:rFonts w:hint="eastAsia" w:ascii="Times New Roman Bold Italic" w:hAnsi="Times New Roman Bold Italic" w:cs="Times New Roman Bold Italic"/>
          <w:b/>
          <w:bCs/>
          <w:i/>
          <w:iCs/>
          <w:sz w:val="24"/>
          <w:szCs w:val="24"/>
          <w:lang w:eastAsia="zh-CN"/>
        </w:rPr>
        <w:t>supported</w:t>
      </w:r>
      <w:r>
        <w:rPr>
          <w:rFonts w:ascii="Times New Roman Bold Italic" w:hAnsi="Times New Roman Bold Italic" w:cs="Times New Roman Bold Italic"/>
          <w:b/>
          <w:bCs/>
          <w:i/>
          <w:iCs/>
          <w:sz w:val="24"/>
          <w:szCs w:val="24"/>
          <w:lang w:eastAsia="zh-CN"/>
        </w:rPr>
        <w:t xml:space="preserve"> multiple </w:t>
      </w:r>
      <w:r>
        <w:rPr>
          <w:rFonts w:hint="eastAsia" w:ascii="Times New Roman Bold Italic" w:hAnsi="Times New Roman Bold Italic" w:cs="Times New Roman Bold Italic"/>
          <w:b/>
          <w:bCs/>
          <w:i/>
          <w:iCs/>
          <w:sz w:val="24"/>
          <w:szCs w:val="24"/>
          <w:lang w:eastAsia="zh-CN"/>
        </w:rPr>
        <w:t xml:space="preserve">power </w:t>
      </w:r>
      <w:r>
        <w:rPr>
          <w:rFonts w:ascii="Times New Roman Bold Italic" w:hAnsi="Times New Roman Bold Italic" w:cs="Times New Roman Bold Italic"/>
          <w:b/>
          <w:bCs/>
          <w:i/>
          <w:iCs/>
          <w:sz w:val="24"/>
          <w:szCs w:val="24"/>
          <w:lang w:eastAsia="zh-CN"/>
        </w:rPr>
        <w:t xml:space="preserve">consumption modes or RATs, it is a better way to reduce power consumption and unify design </w:t>
      </w:r>
      <w:r>
        <w:rPr>
          <w:rFonts w:hint="eastAsia" w:ascii="Times New Roman Bold Italic" w:hAnsi="Times New Roman Bold Italic" w:cs="Times New Roman Bold Italic"/>
          <w:b/>
          <w:bCs/>
          <w:i/>
          <w:iCs/>
          <w:sz w:val="24"/>
          <w:szCs w:val="24"/>
          <w:lang w:eastAsia="zh-CN"/>
        </w:rPr>
        <w:t>for all terminals</w:t>
      </w:r>
      <w:r>
        <w:rPr>
          <w:rFonts w:ascii="Times New Roman Bold Italic" w:hAnsi="Times New Roman Bold Italic" w:cs="Times New Roman Bold Italic"/>
          <w:b/>
          <w:bCs/>
          <w:i/>
          <w:iCs/>
          <w:sz w:val="24"/>
          <w:szCs w:val="24"/>
          <w:lang w:eastAsia="zh-CN"/>
        </w:rPr>
        <w:t xml:space="preserve">. </w:t>
      </w:r>
    </w:p>
    <w:p w14:paraId="275F2315">
      <w:pPr>
        <w:pStyle w:val="5"/>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eastAsia="zh-CN"/>
        </w:rPr>
        <w:t>4</w:t>
      </w:r>
      <w:r>
        <w:rPr>
          <w:rFonts w:ascii="Times New Roman Bold Italic" w:hAnsi="Times New Roman Bold Italic" w:cs="Times New Roman Bold Italic"/>
          <w:b/>
          <w:bCs/>
          <w:i/>
          <w:iCs/>
          <w:sz w:val="22"/>
          <w:szCs w:val="22"/>
        </w:rPr>
        <w:t>:</w:t>
      </w:r>
      <w:r>
        <w:rPr>
          <w:rFonts w:ascii="Times New Roman Bold Italic" w:hAnsi="Times New Roman Bold Italic" w:cs="Times New Roman Bold Italic"/>
          <w:b/>
          <w:bCs/>
          <w:i/>
          <w:iCs/>
          <w:sz w:val="22"/>
          <w:szCs w:val="22"/>
          <w:lang w:eastAsia="zh-CN"/>
        </w:rPr>
        <w:t xml:space="preserve"> If one terminal with multi-capability to support multiple </w:t>
      </w:r>
      <w:r>
        <w:rPr>
          <w:rFonts w:hint="eastAsia" w:ascii="Times New Roman Bold Italic" w:hAnsi="Times New Roman Bold Italic" w:cs="Times New Roman Bold Italic"/>
          <w:b/>
          <w:bCs/>
          <w:i/>
          <w:iCs/>
          <w:sz w:val="22"/>
          <w:szCs w:val="22"/>
          <w:lang w:eastAsia="zh-CN"/>
        </w:rPr>
        <w:t xml:space="preserve">power </w:t>
      </w:r>
      <w:r>
        <w:rPr>
          <w:rFonts w:ascii="Times New Roman Bold Italic" w:hAnsi="Times New Roman Bold Italic" w:cs="Times New Roman Bold Italic"/>
          <w:b/>
          <w:bCs/>
          <w:i/>
          <w:iCs/>
          <w:sz w:val="22"/>
          <w:szCs w:val="22"/>
          <w:lang w:eastAsia="zh-CN"/>
        </w:rPr>
        <w:t>consumption modes or RATs, it is a better way to unify design for one terminal</w:t>
      </w:r>
      <w:r>
        <w:rPr>
          <w:rFonts w:hint="eastAsia" w:ascii="Times New Roman Bold Italic" w:hAnsi="Times New Roman Bold Italic" w:cs="Times New Roman Bold Italic"/>
          <w:b/>
          <w:bCs/>
          <w:i/>
          <w:iCs/>
          <w:sz w:val="22"/>
          <w:szCs w:val="22"/>
          <w:lang w:eastAsia="zh-CN"/>
        </w:rPr>
        <w:t xml:space="preserve"> with</w:t>
      </w:r>
      <w:r>
        <w:rPr>
          <w:rFonts w:ascii="Times New Roman Bold Italic" w:hAnsi="Times New Roman Bold Italic" w:cs="Times New Roman Bold Italic"/>
          <w:b/>
          <w:bCs/>
          <w:i/>
          <w:iCs/>
          <w:sz w:val="22"/>
          <w:szCs w:val="22"/>
          <w:lang w:eastAsia="zh-CN"/>
        </w:rPr>
        <w:t xml:space="preserve"> multi-capability. </w:t>
      </w:r>
    </w:p>
    <w:p w14:paraId="204E243C">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eastAsia="zh-CN"/>
        </w:rPr>
        <w:t>5</w:t>
      </w:r>
      <w:r>
        <w:rPr>
          <w:rFonts w:ascii="Times New Roman Bold Italic" w:hAnsi="Times New Roman Bold Italic" w:cs="Times New Roman Bold Italic"/>
          <w:b/>
          <w:bCs/>
          <w:i/>
          <w:iCs/>
          <w:sz w:val="22"/>
          <w:szCs w:val="22"/>
        </w:rPr>
        <w:t xml:space="preserve">: For </w:t>
      </w:r>
      <w:r>
        <w:rPr>
          <w:rFonts w:ascii="Times New Roman Bold Italic" w:hAnsi="Times New Roman Bold Italic" w:cs="Times New Roman Bold Italic"/>
          <w:b/>
          <w:bCs/>
          <w:i/>
          <w:iCs/>
          <w:sz w:val="22"/>
          <w:szCs w:val="22"/>
          <w:lang w:eastAsia="zh-CN"/>
        </w:rPr>
        <w:t xml:space="preserve">one terminal with multi-capability to support multiple </w:t>
      </w:r>
      <w:r>
        <w:rPr>
          <w:rFonts w:hint="eastAsia" w:ascii="Times New Roman Bold Italic" w:hAnsi="Times New Roman Bold Italic" w:cs="Times New Roman Bold Italic"/>
          <w:b/>
          <w:bCs/>
          <w:i/>
          <w:iCs/>
          <w:sz w:val="22"/>
          <w:szCs w:val="22"/>
          <w:lang w:eastAsia="zh-CN"/>
        </w:rPr>
        <w:t xml:space="preserve">power </w:t>
      </w:r>
      <w:r>
        <w:rPr>
          <w:rFonts w:ascii="Times New Roman Bold Italic" w:hAnsi="Times New Roman Bold Italic" w:cs="Times New Roman Bold Italic"/>
          <w:b/>
          <w:bCs/>
          <w:i/>
          <w:iCs/>
          <w:sz w:val="22"/>
          <w:szCs w:val="22"/>
          <w:lang w:eastAsia="zh-CN"/>
        </w:rPr>
        <w:t>consumption modes or RATs,</w:t>
      </w:r>
      <w:r>
        <w:rPr>
          <w:rFonts w:ascii="Times New Roman Bold Italic" w:hAnsi="Times New Roman Bold Italic" w:cs="Times New Roman Bold Italic"/>
          <w:b/>
          <w:bCs/>
          <w:i/>
          <w:iCs/>
          <w:sz w:val="22"/>
          <w:szCs w:val="22"/>
        </w:rPr>
        <w:t xml:space="preserve"> some potential </w:t>
      </w:r>
      <w:r>
        <w:rPr>
          <w:rFonts w:hint="eastAsia" w:ascii="Times New Roman Bold Italic" w:hAnsi="Times New Roman Bold Italic" w:cs="Times New Roman Bold Italic"/>
          <w:b/>
          <w:bCs/>
          <w:i/>
          <w:iCs/>
          <w:sz w:val="22"/>
          <w:szCs w:val="22"/>
          <w:lang w:eastAsia="zh-CN"/>
        </w:rPr>
        <w:t>issues</w:t>
      </w:r>
      <w:r>
        <w:rPr>
          <w:rFonts w:ascii="Times New Roman Bold Italic" w:hAnsi="Times New Roman Bold Italic" w:cs="Times New Roman Bold Italic"/>
          <w:b/>
          <w:bCs/>
          <w:i/>
          <w:iCs/>
          <w:sz w:val="22"/>
          <w:szCs w:val="22"/>
        </w:rPr>
        <w:t xml:space="preserve"> could be discovered in multi-capability mismatching, mode switching, and minimizing power overhead.</w:t>
      </w:r>
    </w:p>
    <w:p w14:paraId="3A6383F6">
      <w:pPr>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Observation </w:t>
      </w:r>
      <w:r>
        <w:rPr>
          <w:rFonts w:hint="eastAsia" w:ascii="Times New Roman Bold Italic" w:hAnsi="Times New Roman Bold Italic" w:cs="Times New Roman Bold Italic"/>
          <w:b/>
          <w:bCs/>
          <w:i/>
          <w:iCs/>
          <w:lang w:eastAsia="zh-CN"/>
        </w:rPr>
        <w:t>6</w:t>
      </w:r>
      <w:r>
        <w:rPr>
          <w:rFonts w:ascii="Times New Roman Bold Italic" w:hAnsi="Times New Roman Bold Italic" w:cs="Times New Roman Bold Italic"/>
          <w:b/>
          <w:bCs/>
          <w:i/>
          <w:iCs/>
        </w:rPr>
        <w:t>:</w:t>
      </w:r>
      <w:r>
        <w:rPr>
          <w:rFonts w:ascii="Times New Roman Bold Italic" w:hAnsi="Times New Roman Bold Italic" w:cs="Times New Roman Bold Italic"/>
          <w:b/>
          <w:bCs/>
          <w:i/>
          <w:iCs/>
          <w:lang w:eastAsia="zh-CN"/>
        </w:rPr>
        <w:t xml:space="preserve"> All 6G UEs support a minimal 3–5 MHz access bandwidth, ensuring low-cost IoT devices operate with reduced RF complexity and lower baseline power consumption.</w:t>
      </w:r>
    </w:p>
    <w:p w14:paraId="48ED634D">
      <w:pPr>
        <w:rPr>
          <w:rFonts w:ascii="Times New Roman Bold Italic" w:hAnsi="Times New Roman Bold Italic" w:cs="Times New Roman Bold Italic"/>
          <w:b/>
          <w:bCs/>
          <w:i/>
          <w:iCs/>
        </w:rPr>
      </w:pPr>
      <w:r>
        <w:rPr>
          <w:rFonts w:ascii="Times New Roman Bold Italic" w:hAnsi="Times New Roman Bold Italic" w:cs="Times New Roman Bold Italic"/>
          <w:b/>
          <w:bCs/>
          <w:i/>
          <w:iCs/>
        </w:rPr>
        <w:t xml:space="preserve">Observation </w:t>
      </w:r>
      <w:r>
        <w:rPr>
          <w:rFonts w:hint="eastAsia" w:ascii="Times New Roman Bold Italic" w:hAnsi="Times New Roman Bold Italic" w:cs="Times New Roman Bold Italic"/>
          <w:b/>
          <w:bCs/>
          <w:i/>
          <w:iCs/>
          <w:lang w:eastAsia="zh-CN"/>
        </w:rPr>
        <w:t>7</w:t>
      </w:r>
      <w:r>
        <w:rPr>
          <w:rFonts w:ascii="Times New Roman Bold Italic" w:hAnsi="Times New Roman Bold Italic" w:cs="Times New Roman Bold Italic"/>
          <w:b/>
          <w:bCs/>
          <w:i/>
          <w:iCs/>
        </w:rPr>
        <w:t xml:space="preserve">: </w:t>
      </w:r>
      <w:r>
        <w:rPr>
          <w:rFonts w:ascii="Times New Roman Bold Italic" w:hAnsi="Times New Roman Bold Italic" w:cs="Times New Roman Bold Italic"/>
          <w:b/>
          <w:bCs/>
          <w:i/>
          <w:iCs/>
          <w:lang w:eastAsia="zh-CN"/>
        </w:rPr>
        <w:t>6G defines distinct UE classes (IoT, mid-tier, eMBB), enabling tailored power models that avoid over-design and optimize energy efficiency for each performance tier.</w:t>
      </w:r>
    </w:p>
    <w:p w14:paraId="5D620C5F">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Observation 8：</w:t>
      </w:r>
      <w:r>
        <w:rPr>
          <w:rFonts w:ascii="Times New Roman Bold Italic" w:hAnsi="Times New Roman Bold Italic" w:cs="Times New Roman Bold Italic"/>
          <w:b/>
          <w:bCs/>
          <w:i/>
          <w:iCs/>
          <w:lang w:eastAsia="zh-CN"/>
        </w:rPr>
        <w:t>Limiting 6G UE classes from the outset streamlines design and enables class-specific energy-saving features, ensuring balanced efficiency trade-offs across IoT, mid-tier, and eMBB devices.</w:t>
      </w:r>
    </w:p>
    <w:p w14:paraId="6F74D172">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Observation 9：6G multi capability devices may increase complexity by supporting distinct classes but th</w:t>
      </w:r>
      <w:r>
        <w:rPr>
          <w:rFonts w:ascii="Times New Roman Bold Italic" w:hAnsi="Times New Roman Bold Italic" w:cs="Times New Roman Bold Italic"/>
          <w:b/>
          <w:bCs/>
          <w:i/>
          <w:iCs/>
          <w:lang w:eastAsia="zh-CN"/>
        </w:rPr>
        <w:t>e feasibility</w:t>
      </w:r>
      <w:r>
        <w:rPr>
          <w:rFonts w:hint="eastAsia" w:ascii="Times New Roman Bold Italic" w:hAnsi="Times New Roman Bold Italic" w:cs="Times New Roman Bold Italic"/>
          <w:b/>
          <w:bCs/>
          <w:i/>
          <w:iCs/>
          <w:lang w:eastAsia="zh-CN"/>
        </w:rPr>
        <w:t xml:space="preserve"> allows UEs with high capability switching into IoT modes improving overall energy efficiency</w:t>
      </w:r>
      <w:r>
        <w:rPr>
          <w:rFonts w:ascii="Times New Roman Bold Italic" w:hAnsi="Times New Roman Bold Italic" w:cs="Times New Roman Bold Italic"/>
          <w:b/>
          <w:bCs/>
          <w:i/>
          <w:iCs/>
          <w:lang w:eastAsia="zh-CN"/>
        </w:rPr>
        <w:t>.</w:t>
      </w:r>
    </w:p>
    <w:p w14:paraId="607C7DF5">
      <w:pPr>
        <w:pStyle w:val="5"/>
        <w:rPr>
          <w:lang w:eastAsia="zh-CN"/>
        </w:rPr>
      </w:pPr>
    </w:p>
    <w:p w14:paraId="769654C7">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Proposal 1: Study adaptive bandwidth for IoT and mid-tier UEs, ensuring minimal access channels sustain energy efficiency across diverse deployment environments.</w:t>
      </w:r>
    </w:p>
    <w:p w14:paraId="3B73C1DE">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Proposal 2: Explore scalable multi-capability architectures enabling </w:t>
      </w:r>
      <w:r>
        <w:rPr>
          <w:rFonts w:ascii="Times New Roman Bold Italic" w:hAnsi="Times New Roman Bold Italic" w:cs="Times New Roman Bold Italic"/>
          <w:b/>
          <w:bCs/>
          <w:i/>
          <w:iCs/>
          <w:lang w:eastAsia="zh-CN"/>
        </w:rPr>
        <w:t xml:space="preserve">6G </w:t>
      </w:r>
      <w:r>
        <w:rPr>
          <w:rFonts w:hint="eastAsia" w:ascii="Times New Roman Bold Italic" w:hAnsi="Times New Roman Bold Italic" w:cs="Times New Roman Bold Italic"/>
          <w:b/>
          <w:bCs/>
          <w:i/>
          <w:iCs/>
          <w:lang w:eastAsia="zh-CN"/>
        </w:rPr>
        <w:t>UEs with high capability to dynamically switch operating modes, balancing complexity with optimized energy efficiency across different service types.</w:t>
      </w:r>
    </w:p>
    <w:p w14:paraId="7224AEF3">
      <w:pPr>
        <w:rPr>
          <w:rFonts w:eastAsia="等线"/>
          <w:lang w:eastAsia="zh-CN"/>
        </w:rPr>
      </w:pPr>
    </w:p>
    <w:p w14:paraId="2F1D9161">
      <w:pPr>
        <w:outlineLvl w:val="1"/>
        <w:rPr>
          <w:rFonts w:ascii="Times New Roman Bold Italic" w:hAnsi="Times New Roman Bold Italic" w:eastAsia="等线" w:cs="Times New Roman Bold Italic"/>
          <w:b/>
          <w:bCs/>
          <w:i/>
          <w:iCs/>
          <w:highlight w:val="yellow"/>
          <w:u w:val="single"/>
          <w:lang w:eastAsia="zh-CN"/>
        </w:rPr>
      </w:pPr>
      <w:r>
        <w:rPr>
          <w:rFonts w:hint="eastAsia" w:ascii="Times New Roman Bold Italic" w:hAnsi="Times New Roman Bold Italic" w:eastAsia="等线" w:cs="Times New Roman Bold Italic"/>
          <w:b/>
          <w:bCs/>
          <w:i/>
          <w:iCs/>
          <w:highlight w:val="yellow"/>
          <w:u w:val="single"/>
          <w:lang w:val="en-US" w:eastAsia="zh-CN"/>
        </w:rPr>
        <w:t xml:space="preserve">6.2 </w:t>
      </w:r>
      <w:r>
        <w:rPr>
          <w:rFonts w:ascii="Times New Roman Bold Italic" w:hAnsi="Times New Roman Bold Italic" w:eastAsia="等线" w:cs="Times New Roman Bold Italic"/>
          <w:b/>
          <w:bCs/>
          <w:i/>
          <w:iCs/>
          <w:highlight w:val="yellow"/>
          <w:u w:val="single"/>
          <w:lang w:eastAsia="zh-CN"/>
        </w:rPr>
        <w:t>BS/UE power models aspects</w:t>
      </w:r>
    </w:p>
    <w:p w14:paraId="7A31DB5C">
      <w:pPr>
        <w:pStyle w:val="5"/>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 xml:space="preserve">Observation </w:t>
      </w:r>
      <w:r>
        <w:rPr>
          <w:rFonts w:hint="eastAsia" w:ascii="Times New Roman Bold Italic" w:hAnsi="Times New Roman Bold Italic" w:cs="Times New Roman Bold Italic"/>
          <w:b/>
          <w:bCs/>
          <w:i/>
          <w:iCs/>
          <w:sz w:val="22"/>
          <w:szCs w:val="22"/>
          <w:lang w:eastAsia="zh-CN"/>
        </w:rPr>
        <w:t>10</w:t>
      </w:r>
      <w:r>
        <w:rPr>
          <w:rFonts w:ascii="Times New Roman Bold Italic" w:hAnsi="Times New Roman Bold Italic" w:cs="Times New Roman Bold Italic"/>
          <w:b/>
          <w:bCs/>
          <w:i/>
          <w:iCs/>
          <w:sz w:val="22"/>
          <w:szCs w:val="22"/>
          <w:lang w:eastAsia="zh-CN"/>
        </w:rPr>
        <w:t>: No FR3 is considered for BS power consumption in TR 38.864.</w:t>
      </w:r>
    </w:p>
    <w:p w14:paraId="413B6249">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Observation 1</w:t>
      </w:r>
      <w:r>
        <w:rPr>
          <w:rFonts w:hint="eastAsia" w:ascii="Times New Roman Bold Italic" w:hAnsi="Times New Roman Bold Italic" w:cs="Times New Roman Bold Italic"/>
          <w:b/>
          <w:bCs/>
          <w:i/>
          <w:iCs/>
          <w:sz w:val="22"/>
          <w:szCs w:val="22"/>
          <w:lang w:eastAsia="zh-CN"/>
        </w:rPr>
        <w:t>1</w:t>
      </w:r>
      <w:r>
        <w:rPr>
          <w:rFonts w:ascii="Times New Roman Bold Italic" w:hAnsi="Times New Roman Bold Italic" w:cs="Times New Roman Bold Italic"/>
          <w:b/>
          <w:bCs/>
          <w:i/>
          <w:iCs/>
          <w:sz w:val="22"/>
          <w:szCs w:val="22"/>
        </w:rPr>
        <w:t xml:space="preserve">: TR 38.864 defines two hardware categories: Category 2 (state-of-art hardware, used for above values) and a hypothetical Category 1 (more advanced hardware with ultra-fast transitions and ultra-low sleep power). Category 1 represents an aspirational model with near-instantaneous wake-up and negligible power in sleep, which is not yet feasible. </w:t>
      </w:r>
    </w:p>
    <w:p w14:paraId="3EEE89AF">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Observation 1</w:t>
      </w:r>
      <w:r>
        <w:rPr>
          <w:rFonts w:hint="eastAsia" w:ascii="Times New Roman Bold Italic" w:hAnsi="Times New Roman Bold Italic" w:cs="Times New Roman Bold Italic"/>
          <w:b/>
          <w:bCs/>
          <w:i/>
          <w:iCs/>
          <w:sz w:val="22"/>
          <w:szCs w:val="22"/>
          <w:lang w:eastAsia="zh-CN"/>
        </w:rPr>
        <w:t>2</w:t>
      </w:r>
      <w:r>
        <w:rPr>
          <w:rFonts w:ascii="Times New Roman Bold Italic" w:hAnsi="Times New Roman Bold Italic" w:cs="Times New Roman Bold Italic"/>
          <w:b/>
          <w:bCs/>
          <w:i/>
          <w:iCs/>
          <w:sz w:val="22"/>
          <w:szCs w:val="22"/>
        </w:rPr>
        <w:t>: Industry analysis indicates up to ~57% of BS power is in the RF/PA stage for a typical macro BS. Thus, techniques that reduce PA usage (either via duty cycle or reducing output power or number of active antennas) yield significant savings.</w:t>
      </w:r>
    </w:p>
    <w:p w14:paraId="2558F8A4">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Observation 1</w:t>
      </w:r>
      <w:r>
        <w:rPr>
          <w:rFonts w:hint="eastAsia" w:ascii="Times New Roman Bold Italic" w:hAnsi="Times New Roman Bold Italic" w:cs="Times New Roman Bold Italic"/>
          <w:b/>
          <w:bCs/>
          <w:i/>
          <w:iCs/>
          <w:sz w:val="22"/>
          <w:szCs w:val="22"/>
          <w:lang w:eastAsia="zh-CN"/>
        </w:rPr>
        <w:t>3</w:t>
      </w:r>
      <w:r>
        <w:rPr>
          <w:rFonts w:ascii="Times New Roman Bold Italic" w:hAnsi="Times New Roman Bold Italic" w:cs="Times New Roman Bold Italic"/>
          <w:b/>
          <w:bCs/>
          <w:i/>
          <w:iCs/>
          <w:sz w:val="22"/>
          <w:szCs w:val="22"/>
        </w:rPr>
        <w:t xml:space="preserve">:  BS designed for 100 MHz might still operate on a </w:t>
      </w:r>
      <w:r>
        <w:rPr>
          <w:rFonts w:hint="eastAsia" w:ascii="Times New Roman Bold Italic" w:hAnsi="Times New Roman Bold Italic" w:cs="Times New Roman Bold Italic"/>
          <w:b/>
          <w:bCs/>
          <w:i/>
          <w:iCs/>
          <w:sz w:val="22"/>
          <w:szCs w:val="22"/>
          <w:lang w:eastAsia="zh-CN"/>
        </w:rPr>
        <w:t>3</w:t>
      </w:r>
      <w:r>
        <w:rPr>
          <w:rFonts w:ascii="Times New Roman Bold Italic" w:hAnsi="Times New Roman Bold Italic" w:cs="Times New Roman Bold Italic"/>
          <w:b/>
          <w:bCs/>
          <w:i/>
          <w:iCs/>
          <w:sz w:val="22"/>
          <w:szCs w:val="22"/>
        </w:rPr>
        <w:t xml:space="preserve"> MHz or </w:t>
      </w:r>
      <w:r>
        <w:rPr>
          <w:rFonts w:hint="eastAsia" w:ascii="Times New Roman Bold Italic" w:hAnsi="Times New Roman Bold Italic" w:cs="Times New Roman Bold Italic"/>
          <w:b/>
          <w:bCs/>
          <w:i/>
          <w:iCs/>
          <w:sz w:val="22"/>
          <w:szCs w:val="22"/>
          <w:lang w:eastAsia="zh-CN"/>
        </w:rPr>
        <w:t>5</w:t>
      </w:r>
      <w:r>
        <w:rPr>
          <w:rFonts w:ascii="Times New Roman Bold Italic" w:hAnsi="Times New Roman Bold Italic" w:cs="Times New Roman Bold Italic"/>
          <w:b/>
          <w:bCs/>
          <w:i/>
          <w:iCs/>
          <w:sz w:val="22"/>
          <w:szCs w:val="22"/>
        </w:rPr>
        <w:t xml:space="preserve"> MHz </w:t>
      </w:r>
      <w:r>
        <w:rPr>
          <w:rFonts w:hint="eastAsia" w:ascii="Times New Roman Bold Italic" w:hAnsi="Times New Roman Bold Italic" w:cs="Times New Roman Bold Italic"/>
          <w:b/>
          <w:bCs/>
          <w:i/>
          <w:iCs/>
          <w:sz w:val="22"/>
          <w:szCs w:val="22"/>
          <w:lang w:eastAsia="zh-CN"/>
        </w:rPr>
        <w:t>bandwidth</w:t>
      </w:r>
      <w:r>
        <w:rPr>
          <w:rFonts w:ascii="Times New Roman Bold Italic" w:hAnsi="Times New Roman Bold Italic" w:cs="Times New Roman Bold Italic"/>
          <w:b/>
          <w:bCs/>
          <w:i/>
          <w:iCs/>
          <w:sz w:val="22"/>
          <w:szCs w:val="22"/>
        </w:rPr>
        <w:t xml:space="preserve"> in certain modes; however, running a wideband radio at a fraction of its bandwidth may not scale linearly in power.</w:t>
      </w:r>
    </w:p>
    <w:p w14:paraId="19812749">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Observation 1</w:t>
      </w:r>
      <w:r>
        <w:rPr>
          <w:rFonts w:hint="eastAsia" w:ascii="Times New Roman Bold Italic" w:hAnsi="Times New Roman Bold Italic" w:cs="Times New Roman Bold Italic"/>
          <w:b/>
          <w:bCs/>
          <w:i/>
          <w:iCs/>
          <w:sz w:val="22"/>
          <w:szCs w:val="22"/>
          <w:lang w:eastAsia="zh-CN"/>
        </w:rPr>
        <w:t>4</w:t>
      </w:r>
      <w:r>
        <w:rPr>
          <w:rFonts w:ascii="Times New Roman Bold Italic" w:hAnsi="Times New Roman Bold Italic" w:cs="Times New Roman Bold Italic"/>
          <w:b/>
          <w:bCs/>
          <w:i/>
          <w:iCs/>
          <w:sz w:val="22"/>
          <w:szCs w:val="22"/>
        </w:rPr>
        <w:t xml:space="preserve">:  The baseline NR model assumes CP-OFDM waveform (and DFT-s-OFDM for uplink) with the typical PA back-off requirements for that waveform’s PAPR. In 6G, while CP-OFDM will likely remain a primary waveform (for compatibility and multi-access), there is ongoing consideration of new waveforms or variants (e.g. spectrally localized or low-PAPR waveforms) for improved efficiency. </w:t>
      </w:r>
    </w:p>
    <w:p w14:paraId="725E15BE">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Observation 1</w:t>
      </w:r>
      <w:r>
        <w:rPr>
          <w:rFonts w:hint="eastAsia" w:ascii="Times New Roman Bold Italic" w:hAnsi="Times New Roman Bold Italic" w:cs="Times New Roman Bold Italic"/>
          <w:b/>
          <w:bCs/>
          <w:i/>
          <w:iCs/>
          <w:sz w:val="22"/>
          <w:szCs w:val="22"/>
          <w:lang w:eastAsia="zh-CN"/>
        </w:rPr>
        <w:t>5</w:t>
      </w:r>
      <w:r>
        <w:rPr>
          <w:rFonts w:ascii="Times New Roman Bold Italic" w:hAnsi="Times New Roman Bold Italic" w:cs="Times New Roman Bold Italic"/>
          <w:b/>
          <w:bCs/>
          <w:i/>
          <w:iCs/>
          <w:sz w:val="22"/>
          <w:szCs w:val="22"/>
        </w:rPr>
        <w:t>: The existing model focuses on TDD (all reference sets in TR 38.864 are TDD). In 6G, TDD will remain prevalent for mid/high bands, but there may be renewed interest in FDD for lower bands.</w:t>
      </w:r>
    </w:p>
    <w:p w14:paraId="088B39BB">
      <w:pPr>
        <w:pStyle w:val="5"/>
        <w:rPr>
          <w:b/>
          <w:bCs/>
          <w:i/>
          <w:iCs/>
          <w:sz w:val="22"/>
          <w:szCs w:val="22"/>
        </w:rPr>
      </w:pPr>
      <w:r>
        <w:rPr>
          <w:b/>
          <w:bCs/>
          <w:i/>
          <w:iCs/>
          <w:sz w:val="22"/>
          <w:szCs w:val="22"/>
        </w:rPr>
        <w:t xml:space="preserve">Observation 16: If 6G BS might support an ultra-deep sleep </w:t>
      </w:r>
      <w:r>
        <w:rPr>
          <w:rFonts w:ascii="Times New Roman Bold Italic" w:hAnsi="Times New Roman Bold Italic" w:cs="Times New Roman Bold Italic"/>
          <w:b/>
          <w:bCs/>
          <w:i/>
          <w:iCs/>
          <w:sz w:val="22"/>
          <w:szCs w:val="22"/>
        </w:rPr>
        <w:t>(turning off even more components than the Rel-18 deep sleep, possibly enabled by novel hardware) ,</w:t>
      </w:r>
      <w:r>
        <w:rPr>
          <w:b/>
          <w:bCs/>
          <w:i/>
          <w:iCs/>
          <w:sz w:val="22"/>
          <w:szCs w:val="22"/>
        </w:rPr>
        <w:t xml:space="preserve"> which could be used for light waking-up function at BS UL receiver.</w:t>
      </w:r>
    </w:p>
    <w:p w14:paraId="291942BF">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Observation 17: From TR 38.840/865/869/875, it can be observed that power consumption is modeled as an average over cycles of activity and dormancy, and a UE’s power draw is heavily dictated by duty cycling with different RRC states since UEs are battery-powered and often inactive.</w:t>
      </w:r>
    </w:p>
    <w:p w14:paraId="6609D95D">
      <w:pPr>
        <w:pStyle w:val="5"/>
        <w:rPr>
          <w:sz w:val="22"/>
          <w:szCs w:val="22"/>
          <w:lang w:eastAsia="zh-CN"/>
        </w:rPr>
      </w:pPr>
      <w:r>
        <w:rPr>
          <w:rFonts w:hint="eastAsia" w:ascii="Times New Roman Bold Italic" w:hAnsi="Times New Roman Bold Italic" w:cs="Times New Roman Bold Italic"/>
          <w:b/>
          <w:bCs/>
          <w:i/>
          <w:iCs/>
          <w:sz w:val="22"/>
          <w:szCs w:val="22"/>
          <w:lang w:eastAsia="zh-CN"/>
        </w:rPr>
        <w:t>Observation 1</w:t>
      </w:r>
      <w:r>
        <w:rPr>
          <w:rFonts w:ascii="Times New Roman Bold Italic" w:hAnsi="Times New Roman Bold Italic" w:cs="Times New Roman Bold Italic"/>
          <w:b/>
          <w:bCs/>
          <w:i/>
          <w:iCs/>
          <w:sz w:val="22"/>
          <w:szCs w:val="22"/>
          <w:lang w:eastAsia="zh-CN"/>
        </w:rPr>
        <w:t>8</w:t>
      </w:r>
      <w:r>
        <w:rPr>
          <w:rFonts w:hint="eastAsia" w:ascii="Times New Roman Bold Italic" w:hAnsi="Times New Roman Bold Italic" w:cs="Times New Roman Bold Italic"/>
          <w:b/>
          <w:bCs/>
          <w:i/>
          <w:iCs/>
          <w:sz w:val="22"/>
          <w:szCs w:val="22"/>
          <w:lang w:eastAsia="zh-CN"/>
        </w:rPr>
        <w:t xml:space="preserve">: </w:t>
      </w:r>
      <w:r>
        <w:rPr>
          <w:rFonts w:ascii="Times New Roman Bold Italic" w:hAnsi="Times New Roman Bold Italic" w:cs="Times New Roman Bold Italic"/>
          <w:b/>
          <w:bCs/>
          <w:i/>
          <w:iCs/>
          <w:sz w:val="22"/>
          <w:szCs w:val="22"/>
          <w:lang w:eastAsia="zh-CN"/>
        </w:rPr>
        <w:t>TR 38.840 established a baseline UE power model for eMBB-class devices, highlighting RF, baseband, and platform consumption. It showed idle/light traffic dominates energy use, so optimizations like longer DRX, reduced PDCCH monitoring, and micro-sleeps significantly cut average power.</w:t>
      </w:r>
    </w:p>
    <w:p w14:paraId="67C03F73">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Observation 19: RedCap power modeling simplifies UE architecture with fewer RF chains, narrower bandwidth, and limited modulation, combined with long DRX cycles. These adjustments reduce baseline, active, and idle power, enabling significantly lower average consumption and extended battery life.</w:t>
      </w:r>
    </w:p>
    <w:p w14:paraId="4B327FB8">
      <w:pPr>
        <w:pStyle w:val="5"/>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rPr>
        <w:t>Observation 20: Rel-18 eRedCap introduced very long DRX in RRC_INACTIVE and deeper sleep during data gaps, enabling unified idle/inactive power modeling and significantly lowering both idle and active power consumption.</w:t>
      </w:r>
    </w:p>
    <w:p w14:paraId="66DE8243">
      <w:pPr>
        <w:pStyle w:val="5"/>
        <w:rPr>
          <w:rFonts w:ascii="Times New Roman Bold Italic" w:hAnsi="Times New Roman Bold Italic" w:cs="Times New Roman Bold Italic"/>
          <w:b/>
          <w:bCs/>
          <w:i/>
          <w:iCs/>
          <w:sz w:val="22"/>
          <w:szCs w:val="22"/>
          <w:lang w:eastAsia="zh-CN"/>
        </w:rPr>
      </w:pPr>
      <w:r>
        <w:rPr>
          <w:rFonts w:hint="eastAsia" w:ascii="Times New Roman Bold Italic" w:hAnsi="Times New Roman Bold Italic" w:cs="Times New Roman Bold Italic"/>
          <w:b/>
          <w:bCs/>
          <w:i/>
          <w:iCs/>
          <w:sz w:val="22"/>
          <w:szCs w:val="22"/>
          <w:lang w:eastAsia="zh-CN"/>
        </w:rPr>
        <w:t>Observation 2</w:t>
      </w:r>
      <w:r>
        <w:rPr>
          <w:rFonts w:ascii="Times New Roman Bold Italic" w:hAnsi="Times New Roman Bold Italic" w:cs="Times New Roman Bold Italic"/>
          <w:b/>
          <w:bCs/>
          <w:i/>
          <w:iCs/>
          <w:sz w:val="22"/>
          <w:szCs w:val="22"/>
          <w:lang w:eastAsia="zh-CN"/>
        </w:rPr>
        <w:t>1</w:t>
      </w:r>
      <w:r>
        <w:rPr>
          <w:rFonts w:hint="eastAsia" w:ascii="Times New Roman Bold Italic" w:hAnsi="Times New Roman Bold Italic" w:cs="Times New Roman Bold Italic"/>
          <w:b/>
          <w:bCs/>
          <w:i/>
          <w:iCs/>
          <w:sz w:val="22"/>
          <w:szCs w:val="22"/>
          <w:lang w:eastAsia="zh-CN"/>
        </w:rPr>
        <w:t>:</w:t>
      </w:r>
      <w:r>
        <w:rPr>
          <w:rFonts w:ascii="Times New Roman Bold Italic" w:hAnsi="Times New Roman Bold Italic" w:cs="Times New Roman Bold Italic"/>
          <w:b/>
          <w:bCs/>
          <w:i/>
          <w:iCs/>
          <w:sz w:val="22"/>
          <w:szCs w:val="22"/>
          <w:lang w:eastAsia="zh-CN"/>
        </w:rPr>
        <w:t>TR 38.869 introduces WUR power state into UE models enabling ultra low power idle by replacing frequent paging wake ups with continuous low power listening cutting idle consumption by up to tenfold.</w:t>
      </w:r>
    </w:p>
    <w:p w14:paraId="3B560617">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22: From NR UE perspective, there is different UE model parameters being concluded below</w:t>
      </w:r>
    </w:p>
    <w:p w14:paraId="45D01B2C">
      <w:pPr>
        <w:pStyle w:val="5"/>
        <w:rPr>
          <w:rFonts w:ascii="Times New Roman Bold Italic" w:hAnsi="Times New Roman Bold Italic" w:cs="Times New Roman Bold Italic"/>
          <w:b/>
          <w:bCs/>
        </w:rPr>
      </w:pPr>
      <w:r>
        <w:rPr>
          <w:rFonts w:ascii="Times New Roman Bold Italic" w:hAnsi="Times New Roman Bold Italic" w:cs="Times New Roman Bold Italic"/>
          <w:b/>
          <w:bCs/>
          <w:i/>
          <w:iCs/>
        </w:rPr>
        <w:t>Table 5: Comparative overview of UE model parameters across baseline NR, RedCap, eRedCap, and LP-WUS studies.</w:t>
      </w:r>
      <w:r>
        <w:rPr>
          <w:rFonts w:ascii="Times New Roman Bold Italic" w:hAnsi="Times New Roman Bold Italic" w:cs="Times New Roman Bold Italic"/>
          <w:b/>
          <w:bCs/>
        </w:rPr>
        <w:t xml:space="preserve"> (Sources: key values synthesized from TR 38.840, TR 38.875, TR 38.869 and 3GPP study outcomes.)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1728"/>
        <w:gridCol w:w="1728"/>
        <w:gridCol w:w="1728"/>
        <w:gridCol w:w="1728"/>
      </w:tblGrid>
      <w:tr w14:paraId="17DDB6BA">
        <w:trPr>
          <w:jc w:val="center"/>
        </w:trPr>
        <w:tc>
          <w:tcPr>
            <w:tcW w:w="1728" w:type="dxa"/>
            <w:tcBorders>
              <w:tl2br w:val="nil"/>
              <w:tr2bl w:val="nil"/>
            </w:tcBorders>
          </w:tcPr>
          <w:p w14:paraId="7F4072CA">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Parameter / Feature</w:t>
            </w:r>
          </w:p>
        </w:tc>
        <w:tc>
          <w:tcPr>
            <w:tcW w:w="1728" w:type="dxa"/>
            <w:tcBorders>
              <w:tl2br w:val="nil"/>
              <w:tr2bl w:val="nil"/>
            </w:tcBorders>
          </w:tcPr>
          <w:p w14:paraId="0A7B053B">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Baseline eMBB UE (TR 38.840)</w:t>
            </w:r>
          </w:p>
        </w:tc>
        <w:tc>
          <w:tcPr>
            <w:tcW w:w="1728" w:type="dxa"/>
            <w:tcBorders>
              <w:tl2br w:val="nil"/>
              <w:tr2bl w:val="nil"/>
            </w:tcBorders>
          </w:tcPr>
          <w:p w14:paraId="498EA435">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RedCap UE (TR 38.875)</w:t>
            </w:r>
          </w:p>
        </w:tc>
        <w:tc>
          <w:tcPr>
            <w:tcW w:w="1728" w:type="dxa"/>
            <w:tcBorders>
              <w:tl2br w:val="nil"/>
              <w:tr2bl w:val="nil"/>
            </w:tcBorders>
          </w:tcPr>
          <w:p w14:paraId="3901521B">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eRedCap UE (TR 38.865)</w:t>
            </w:r>
          </w:p>
        </w:tc>
        <w:tc>
          <w:tcPr>
            <w:tcW w:w="1728" w:type="dxa"/>
            <w:tcBorders>
              <w:tl2br w:val="nil"/>
              <w:tr2bl w:val="nil"/>
            </w:tcBorders>
          </w:tcPr>
          <w:p w14:paraId="385AF4B5">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LP-WUS Feature (TR 38.869)</w:t>
            </w:r>
          </w:p>
        </w:tc>
      </w:tr>
      <w:tr w14:paraId="0E66FBEE">
        <w:trPr>
          <w:jc w:val="center"/>
        </w:trPr>
        <w:tc>
          <w:tcPr>
            <w:tcW w:w="1728" w:type="dxa"/>
            <w:tcBorders>
              <w:tl2br w:val="nil"/>
              <w:tr2bl w:val="nil"/>
            </w:tcBorders>
          </w:tcPr>
          <w:p w14:paraId="7B73FC9C">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Max BW / Data Rate</w:t>
            </w:r>
          </w:p>
        </w:tc>
        <w:tc>
          <w:tcPr>
            <w:tcW w:w="1728" w:type="dxa"/>
            <w:tcBorders>
              <w:tl2br w:val="nil"/>
              <w:tr2bl w:val="nil"/>
            </w:tcBorders>
          </w:tcPr>
          <w:p w14:paraId="34DAA001">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Up to 100 MHz, ~1 Gbps+</w:t>
            </w:r>
          </w:p>
        </w:tc>
        <w:tc>
          <w:tcPr>
            <w:tcW w:w="1728" w:type="dxa"/>
            <w:tcBorders>
              <w:tl2br w:val="nil"/>
              <w:tr2bl w:val="nil"/>
            </w:tcBorders>
          </w:tcPr>
          <w:p w14:paraId="6A2B1F49">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20 MHz, ~150 Mbps</w:t>
            </w:r>
          </w:p>
        </w:tc>
        <w:tc>
          <w:tcPr>
            <w:tcW w:w="1728" w:type="dxa"/>
            <w:tcBorders>
              <w:tl2br w:val="nil"/>
              <w:tr2bl w:val="nil"/>
            </w:tcBorders>
          </w:tcPr>
          <w:p w14:paraId="5B120D48">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5 MHz, ~10 Mbps</w:t>
            </w:r>
          </w:p>
        </w:tc>
        <w:tc>
          <w:tcPr>
            <w:tcW w:w="1728" w:type="dxa"/>
            <w:tcBorders>
              <w:tl2br w:val="nil"/>
              <w:tr2bl w:val="nil"/>
            </w:tcBorders>
          </w:tcPr>
          <w:p w14:paraId="1517902A">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N/A (feature, not device type)</w:t>
            </w:r>
          </w:p>
        </w:tc>
      </w:tr>
      <w:tr w14:paraId="1E71E954">
        <w:trPr>
          <w:jc w:val="center"/>
        </w:trPr>
        <w:tc>
          <w:tcPr>
            <w:tcW w:w="1728" w:type="dxa"/>
            <w:tcBorders>
              <w:tl2br w:val="nil"/>
              <w:tr2bl w:val="nil"/>
            </w:tcBorders>
          </w:tcPr>
          <w:p w14:paraId="3425F95C">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RF Chains (MIMO)</w:t>
            </w:r>
          </w:p>
        </w:tc>
        <w:tc>
          <w:tcPr>
            <w:tcW w:w="1728" w:type="dxa"/>
            <w:tcBorders>
              <w:tl2br w:val="nil"/>
              <w:tr2bl w:val="nil"/>
            </w:tcBorders>
          </w:tcPr>
          <w:p w14:paraId="0D22ABDC">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4 Rx, 2 Tx</w:t>
            </w:r>
          </w:p>
        </w:tc>
        <w:tc>
          <w:tcPr>
            <w:tcW w:w="1728" w:type="dxa"/>
            <w:tcBorders>
              <w:tl2br w:val="nil"/>
              <w:tr2bl w:val="nil"/>
            </w:tcBorders>
          </w:tcPr>
          <w:p w14:paraId="2051D5A1">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1 Rx, 1 Tx</w:t>
            </w:r>
          </w:p>
        </w:tc>
        <w:tc>
          <w:tcPr>
            <w:tcW w:w="1728" w:type="dxa"/>
            <w:tcBorders>
              <w:tl2br w:val="nil"/>
              <w:tr2bl w:val="nil"/>
            </w:tcBorders>
          </w:tcPr>
          <w:p w14:paraId="45821231">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1 Rx, 1 Tx</w:t>
            </w:r>
          </w:p>
        </w:tc>
        <w:tc>
          <w:tcPr>
            <w:tcW w:w="1728" w:type="dxa"/>
            <w:tcBorders>
              <w:tl2br w:val="nil"/>
              <w:tr2bl w:val="nil"/>
            </w:tcBorders>
          </w:tcPr>
          <w:p w14:paraId="7BB60A97">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Adds ultra-low-power WUR Rx</w:t>
            </w:r>
          </w:p>
        </w:tc>
      </w:tr>
      <w:tr w14:paraId="6E485FF5">
        <w:trPr>
          <w:jc w:val="center"/>
        </w:trPr>
        <w:tc>
          <w:tcPr>
            <w:tcW w:w="1728" w:type="dxa"/>
            <w:tcBorders>
              <w:tl2br w:val="nil"/>
              <w:tr2bl w:val="nil"/>
            </w:tcBorders>
          </w:tcPr>
          <w:p w14:paraId="07D713ED">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Idle/Inactive DRX</w:t>
            </w:r>
          </w:p>
        </w:tc>
        <w:tc>
          <w:tcPr>
            <w:tcW w:w="1728" w:type="dxa"/>
            <w:tcBorders>
              <w:tl2br w:val="nil"/>
              <w:tr2bl w:val="nil"/>
            </w:tcBorders>
          </w:tcPr>
          <w:p w14:paraId="038C1D20">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160 ms typical</w:t>
            </w:r>
          </w:p>
        </w:tc>
        <w:tc>
          <w:tcPr>
            <w:tcW w:w="1728" w:type="dxa"/>
            <w:tcBorders>
              <w:tl2br w:val="nil"/>
              <w:tr2bl w:val="nil"/>
            </w:tcBorders>
          </w:tcPr>
          <w:p w14:paraId="69D02D12">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Extended DRX: seconds</w:t>
            </w:r>
          </w:p>
        </w:tc>
        <w:tc>
          <w:tcPr>
            <w:tcW w:w="1728" w:type="dxa"/>
            <w:tcBorders>
              <w:tl2br w:val="nil"/>
              <w:tr2bl w:val="nil"/>
            </w:tcBorders>
          </w:tcPr>
          <w:p w14:paraId="07FBBEB3">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Long eDRX (Inactive)</w:t>
            </w:r>
          </w:p>
        </w:tc>
        <w:tc>
          <w:tcPr>
            <w:tcW w:w="1728" w:type="dxa"/>
            <w:tcBorders>
              <w:tl2br w:val="nil"/>
              <w:tr2bl w:val="nil"/>
            </w:tcBorders>
          </w:tcPr>
          <w:p w14:paraId="35B6D0E9">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No periodic wake; WUS triggered</w:t>
            </w:r>
          </w:p>
        </w:tc>
      </w:tr>
      <w:tr w14:paraId="6605A63A">
        <w:trPr>
          <w:jc w:val="center"/>
        </w:trPr>
        <w:tc>
          <w:tcPr>
            <w:tcW w:w="1728" w:type="dxa"/>
            <w:tcBorders>
              <w:tl2br w:val="nil"/>
              <w:tr2bl w:val="nil"/>
            </w:tcBorders>
          </w:tcPr>
          <w:p w14:paraId="2636D72A">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Target Battery Life</w:t>
            </w:r>
          </w:p>
        </w:tc>
        <w:tc>
          <w:tcPr>
            <w:tcW w:w="1728" w:type="dxa"/>
            <w:tcBorders>
              <w:tl2br w:val="nil"/>
              <w:tr2bl w:val="nil"/>
            </w:tcBorders>
          </w:tcPr>
          <w:p w14:paraId="188C5937">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1 day–1 week</w:t>
            </w:r>
          </w:p>
        </w:tc>
        <w:tc>
          <w:tcPr>
            <w:tcW w:w="1728" w:type="dxa"/>
            <w:tcBorders>
              <w:tl2br w:val="nil"/>
              <w:tr2bl w:val="nil"/>
            </w:tcBorders>
          </w:tcPr>
          <w:p w14:paraId="40F0C311">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Wearables: 1–2 weeks; Sensors: years</w:t>
            </w:r>
          </w:p>
        </w:tc>
        <w:tc>
          <w:tcPr>
            <w:tcW w:w="1728" w:type="dxa"/>
            <w:tcBorders>
              <w:tl2br w:val="nil"/>
              <w:tr2bl w:val="nil"/>
            </w:tcBorders>
          </w:tcPr>
          <w:p w14:paraId="4A245DFA">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Years (depending on DRX)</w:t>
            </w:r>
          </w:p>
        </w:tc>
        <w:tc>
          <w:tcPr>
            <w:tcW w:w="1728" w:type="dxa"/>
            <w:tcBorders>
              <w:tl2br w:val="nil"/>
              <w:tr2bl w:val="nil"/>
            </w:tcBorders>
          </w:tcPr>
          <w:p w14:paraId="761DD0B4">
            <w:pPr>
              <w:rPr>
                <w:rFonts w:ascii="Times New Roman Bold Italic" w:hAnsi="Times New Roman Bold Italic" w:cs="Times New Roman Bold Italic"/>
                <w:b/>
                <w:bCs/>
                <w:sz w:val="18"/>
                <w:szCs w:val="18"/>
              </w:rPr>
            </w:pPr>
            <w:r>
              <w:rPr>
                <w:rFonts w:ascii="Times New Roman Bold Italic" w:hAnsi="Times New Roman Bold Italic" w:cs="Times New Roman Bold Italic"/>
                <w:b/>
                <w:bCs/>
                <w:sz w:val="18"/>
                <w:szCs w:val="18"/>
              </w:rPr>
              <w:t>10+ years (with WUR)</w:t>
            </w:r>
          </w:p>
        </w:tc>
      </w:tr>
    </w:tbl>
    <w:p w14:paraId="5120D464">
      <w:pPr>
        <w:pStyle w:val="5"/>
        <w:rPr>
          <w:b/>
          <w:bCs/>
          <w:i/>
          <w:iCs/>
        </w:rPr>
      </w:pPr>
    </w:p>
    <w:p w14:paraId="22413234">
      <w:pPr>
        <w:pStyle w:val="5"/>
        <w:rPr>
          <w:rFonts w:ascii="Times New Roman Bold Italic" w:hAnsi="Times New Roman Bold Italic" w:cs="Times New Roman Bold Italic"/>
          <w:b/>
          <w:bCs/>
          <w:i/>
          <w:iCs/>
          <w:lang w:eastAsia="zh-CN"/>
        </w:rPr>
      </w:pPr>
    </w:p>
    <w:p w14:paraId="27646628">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Proposal 3:  To enhance power consumption model from TR 38.864 to accommodate new 6G design features and deployment scenarios, ensuring the model remains accurate and flexible for 6G BS power consumption evaluation.</w:t>
      </w:r>
    </w:p>
    <w:p w14:paraId="12D72A3F">
      <w:pPr>
        <w:pStyle w:val="5"/>
        <w:rPr>
          <w:rFonts w:ascii="Times New Roman Bold Italic" w:hAnsi="Times New Roman Bold Italic" w:cs="Times New Roman Bold Italic"/>
          <w:b/>
          <w:bCs/>
          <w:i/>
          <w:iCs/>
          <w:sz w:val="22"/>
          <w:szCs w:val="22"/>
          <w:lang w:eastAsia="zh-CN"/>
        </w:rPr>
      </w:pPr>
      <w:r>
        <w:rPr>
          <w:rFonts w:hint="eastAsia" w:ascii="Times New Roman Bold Italic" w:hAnsi="Times New Roman Bold Italic" w:cs="Times New Roman Bold Italic"/>
          <w:b/>
          <w:bCs/>
          <w:i/>
          <w:iCs/>
          <w:sz w:val="22"/>
          <w:szCs w:val="22"/>
          <w:lang w:eastAsia="zh-CN"/>
        </w:rPr>
        <w:t xml:space="preserve">Proposal </w:t>
      </w:r>
      <w:r>
        <w:rPr>
          <w:rFonts w:ascii="Times New Roman Bold Italic" w:hAnsi="Times New Roman Bold Italic" w:cs="Times New Roman Bold Italic"/>
          <w:b/>
          <w:bCs/>
          <w:i/>
          <w:iCs/>
          <w:sz w:val="22"/>
          <w:szCs w:val="22"/>
          <w:lang w:eastAsia="zh-CN"/>
        </w:rPr>
        <w:t>4</w:t>
      </w:r>
      <w:r>
        <w:rPr>
          <w:rFonts w:hint="eastAsia" w:ascii="Times New Roman Bold Italic" w:hAnsi="Times New Roman Bold Italic" w:cs="Times New Roman Bold Italic"/>
          <w:b/>
          <w:bCs/>
          <w:i/>
          <w:iCs/>
          <w:sz w:val="22"/>
          <w:szCs w:val="22"/>
          <w:lang w:eastAsia="zh-CN"/>
        </w:rPr>
        <w:t xml:space="preserve">：Consider below </w:t>
      </w:r>
      <w:r>
        <w:rPr>
          <w:rFonts w:ascii="Times New Roman Bold Italic" w:hAnsi="Times New Roman Bold Italic" w:cs="Times New Roman Bold Italic"/>
          <w:b/>
          <w:bCs/>
          <w:i/>
          <w:iCs/>
          <w:sz w:val="22"/>
          <w:szCs w:val="22"/>
        </w:rPr>
        <w:t>new 6G design features and deployment scenarios</w:t>
      </w:r>
      <w:r>
        <w:rPr>
          <w:rFonts w:hint="eastAsia" w:ascii="Times New Roman Bold Italic" w:hAnsi="Times New Roman Bold Italic" w:cs="Times New Roman Bold Italic"/>
          <w:b/>
          <w:bCs/>
          <w:i/>
          <w:iCs/>
          <w:sz w:val="22"/>
          <w:szCs w:val="22"/>
          <w:lang w:eastAsia="zh-CN"/>
        </w:rPr>
        <w:t xml:space="preserve"> used</w:t>
      </w:r>
      <w:r>
        <w:rPr>
          <w:rFonts w:ascii="Times New Roman Bold Italic" w:hAnsi="Times New Roman Bold Italic" w:cs="Times New Roman Bold Italic"/>
          <w:b/>
          <w:bCs/>
          <w:i/>
          <w:iCs/>
          <w:sz w:val="22"/>
          <w:szCs w:val="22"/>
          <w:lang w:eastAsia="zh-CN"/>
        </w:rPr>
        <w:t xml:space="preserve"> for 6GR BS power consumption model</w:t>
      </w:r>
    </w:p>
    <w:p w14:paraId="1BB598DD">
      <w:pPr>
        <w:pStyle w:val="5"/>
        <w:numPr>
          <w:ilvl w:val="0"/>
          <w:numId w:val="17"/>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rPr>
        <w:t>Explicitly include system bandwidth for different UE devices (e.g., 3MHz, 5MHz.) as a parameter in the BS power model, rather than implicitly assuming a fixed reference bandwidth</w:t>
      </w:r>
    </w:p>
    <w:p w14:paraId="79D110B3">
      <w:pPr>
        <w:pStyle w:val="5"/>
        <w:numPr>
          <w:ilvl w:val="0"/>
          <w:numId w:val="17"/>
        </w:numPr>
        <w:rPr>
          <w:rFonts w:ascii="Times New Roman Bold Italic" w:hAnsi="Times New Roman Bold Italic" w:cs="Times New Roman Bold Italic"/>
          <w:b/>
          <w:bCs/>
          <w:i/>
          <w:iCs/>
          <w:sz w:val="22"/>
          <w:szCs w:val="22"/>
          <w:lang w:eastAsia="zh-CN"/>
        </w:rPr>
      </w:pPr>
      <w:r>
        <w:rPr>
          <w:rFonts w:hint="eastAsia" w:ascii="Times New Roman Bold Italic" w:hAnsi="Times New Roman Bold Italic" w:cs="Times New Roman Bold Italic"/>
          <w:b/>
          <w:bCs/>
          <w:i/>
          <w:iCs/>
          <w:sz w:val="22"/>
          <w:szCs w:val="22"/>
          <w:lang w:eastAsia="zh-CN"/>
        </w:rPr>
        <w:t>Consider</w:t>
      </w:r>
      <w:r>
        <w:rPr>
          <w:rFonts w:ascii="Times New Roman Bold Italic" w:hAnsi="Times New Roman Bold Italic" w:cs="Times New Roman Bold Italic"/>
          <w:b/>
          <w:bCs/>
          <w:i/>
          <w:iCs/>
          <w:sz w:val="22"/>
          <w:szCs w:val="22"/>
        </w:rPr>
        <w:t xml:space="preserve"> waveform</w:t>
      </w:r>
      <w:r>
        <w:rPr>
          <w:rFonts w:hint="eastAsia" w:ascii="Times New Roman Bold Italic" w:hAnsi="Times New Roman Bold Italic" w:cs="Times New Roman Bold Italic"/>
          <w:b/>
          <w:bCs/>
          <w:i/>
          <w:iCs/>
          <w:sz w:val="22"/>
          <w:szCs w:val="22"/>
          <w:lang w:eastAsia="zh-CN"/>
        </w:rPr>
        <w:t xml:space="preserve"> switching</w:t>
      </w:r>
      <w:r>
        <w:rPr>
          <w:rFonts w:ascii="Times New Roman Bold Italic" w:hAnsi="Times New Roman Bold Italic" w:cs="Times New Roman Bold Italic"/>
          <w:b/>
          <w:bCs/>
          <w:i/>
          <w:iCs/>
          <w:sz w:val="22"/>
          <w:szCs w:val="22"/>
        </w:rPr>
        <w:t xml:space="preserve"> or variants (e.g. spectrally localized or low-PAPR waveform) for</w:t>
      </w:r>
      <w:r>
        <w:rPr>
          <w:rFonts w:hint="eastAsia" w:ascii="Times New Roman Bold Italic" w:hAnsi="Times New Roman Bold Italic" w:cs="Times New Roman Bold Italic"/>
          <w:b/>
          <w:bCs/>
          <w:i/>
          <w:iCs/>
          <w:sz w:val="22"/>
          <w:szCs w:val="22"/>
          <w:lang w:eastAsia="zh-CN"/>
        </w:rPr>
        <w:t xml:space="preserve"> BS</w:t>
      </w:r>
      <w:r>
        <w:rPr>
          <w:rFonts w:ascii="Times New Roman Bold Italic" w:hAnsi="Times New Roman Bold Italic" w:cs="Times New Roman Bold Italic"/>
          <w:b/>
          <w:bCs/>
          <w:i/>
          <w:iCs/>
          <w:sz w:val="22"/>
          <w:szCs w:val="22"/>
        </w:rPr>
        <w:t xml:space="preserve"> </w:t>
      </w:r>
      <w:r>
        <w:rPr>
          <w:rFonts w:hint="eastAsia" w:ascii="Times New Roman Bold Italic" w:hAnsi="Times New Roman Bold Italic" w:cs="Times New Roman Bold Italic"/>
          <w:b/>
          <w:bCs/>
          <w:i/>
          <w:iCs/>
          <w:sz w:val="22"/>
          <w:szCs w:val="22"/>
          <w:lang w:eastAsia="zh-CN"/>
        </w:rPr>
        <w:t>power model</w:t>
      </w:r>
    </w:p>
    <w:p w14:paraId="4CE74858">
      <w:pPr>
        <w:pStyle w:val="5"/>
        <w:numPr>
          <w:ilvl w:val="0"/>
          <w:numId w:val="17"/>
        </w:numPr>
        <w:rPr>
          <w:rFonts w:ascii="Times New Roman Bold Italic" w:hAnsi="Times New Roman Bold Italic" w:cs="Times New Roman Bold Italic"/>
          <w:b/>
          <w:bCs/>
          <w:i/>
          <w:iCs/>
          <w:sz w:val="22"/>
          <w:szCs w:val="22"/>
          <w:lang w:eastAsia="zh-CN"/>
        </w:rPr>
      </w:pPr>
      <w:r>
        <w:rPr>
          <w:rFonts w:hint="eastAsia" w:ascii="Times New Roman Bold Italic" w:hAnsi="Times New Roman Bold Italic" w:cs="Times New Roman Bold Italic"/>
          <w:b/>
          <w:bCs/>
          <w:i/>
          <w:iCs/>
          <w:sz w:val="22"/>
          <w:szCs w:val="22"/>
          <w:lang w:eastAsia="zh-CN"/>
        </w:rPr>
        <w:t xml:space="preserve">TDD/FDD frame structures should </w:t>
      </w:r>
      <w:r>
        <w:rPr>
          <w:rFonts w:ascii="Times New Roman Bold Italic" w:hAnsi="Times New Roman Bold Italic" w:cs="Times New Roman Bold Italic"/>
          <w:b/>
          <w:bCs/>
          <w:i/>
          <w:iCs/>
          <w:sz w:val="22"/>
          <w:szCs w:val="22"/>
          <w:lang w:eastAsia="zh-CN"/>
        </w:rPr>
        <w:t>be considered for BS power model with an optional</w:t>
      </w:r>
      <w:r>
        <w:rPr>
          <w:rFonts w:ascii="Times New Roman Bold Italic" w:hAnsi="Times New Roman Bold Italic" w:cs="Times New Roman Bold Italic"/>
          <w:b/>
          <w:bCs/>
          <w:i/>
          <w:iCs/>
          <w:sz w:val="22"/>
          <w:szCs w:val="22"/>
        </w:rPr>
        <w:t xml:space="preserve"> uniform time base for power reporting (e.g. mW per second or Joules per second) rather than per slot</w:t>
      </w:r>
    </w:p>
    <w:p w14:paraId="700A2D2A">
      <w:pPr>
        <w:pStyle w:val="5"/>
        <w:numPr>
          <w:ilvl w:val="0"/>
          <w:numId w:val="17"/>
        </w:numPr>
        <w:rPr>
          <w:rFonts w:ascii="Times New Roman Bold Italic" w:hAnsi="Times New Roman Bold Italic" w:cs="Times New Roman Bold Italic"/>
          <w:b/>
          <w:bCs/>
          <w:i/>
          <w:iCs/>
          <w:sz w:val="22"/>
          <w:szCs w:val="22"/>
          <w:lang w:eastAsia="zh-CN"/>
        </w:rPr>
      </w:pPr>
      <w:r>
        <w:rPr>
          <w:b/>
          <w:bCs/>
          <w:i/>
          <w:iCs/>
          <w:sz w:val="22"/>
          <w:szCs w:val="22"/>
        </w:rPr>
        <w:t xml:space="preserve">Ultra-deep sleep </w:t>
      </w:r>
      <w:r>
        <w:rPr>
          <w:rFonts w:ascii="Times New Roman Bold Italic" w:hAnsi="Times New Roman Bold Italic" w:cs="Times New Roman Bold Italic"/>
          <w:b/>
          <w:bCs/>
          <w:i/>
          <w:iCs/>
          <w:sz w:val="22"/>
          <w:szCs w:val="22"/>
        </w:rPr>
        <w:t>(e.g., turning off even more components than the Rel-18 deep sleep, possibly enabled by novel hardware) consideration for BS power model</w:t>
      </w:r>
    </w:p>
    <w:p w14:paraId="4AD06DF0">
      <w:pPr>
        <w:pStyle w:val="5"/>
        <w:numPr>
          <w:ilvl w:val="0"/>
          <w:numId w:val="17"/>
        </w:numPr>
        <w:rPr>
          <w:rFonts w:ascii="Times New Roman Bold Italic" w:hAnsi="Times New Roman Bold Italic" w:cs="Times New Roman Bold Italic"/>
          <w:b/>
          <w:bCs/>
          <w:i/>
          <w:iCs/>
          <w:sz w:val="22"/>
          <w:szCs w:val="22"/>
        </w:rPr>
      </w:pPr>
      <w:r>
        <w:rPr>
          <w:rFonts w:hint="eastAsia" w:ascii="Times New Roman Bold Italic" w:hAnsi="Times New Roman Bold Italic" w:cs="Times New Roman Bold Italic"/>
          <w:b/>
          <w:bCs/>
          <w:i/>
          <w:iCs/>
          <w:sz w:val="22"/>
          <w:szCs w:val="22"/>
          <w:lang w:eastAsia="zh-CN"/>
        </w:rPr>
        <w:t>How</w:t>
      </w:r>
      <w:r>
        <w:rPr>
          <w:rFonts w:ascii="Times New Roman Bold Italic" w:hAnsi="Times New Roman Bold Italic" w:cs="Times New Roman Bold Italic"/>
          <w:b/>
          <w:bCs/>
          <w:i/>
          <w:iCs/>
          <w:sz w:val="22"/>
          <w:szCs w:val="22"/>
          <w:lang w:eastAsia="zh-CN"/>
        </w:rPr>
        <w:t xml:space="preserve"> to consider BS power model in FR3</w:t>
      </w:r>
    </w:p>
    <w:p w14:paraId="7FB8944E">
      <w:pPr>
        <w:pStyle w:val="5"/>
        <w:rPr>
          <w:b/>
          <w:bCs/>
          <w:i/>
          <w:iCs/>
          <w:sz w:val="22"/>
          <w:szCs w:val="22"/>
        </w:rPr>
      </w:pPr>
      <w:r>
        <w:rPr>
          <w:rFonts w:ascii="Times New Roman Bold Italic" w:hAnsi="Times New Roman Bold Italic" w:cs="Times New Roman Bold Italic"/>
          <w:b/>
          <w:bCs/>
          <w:i/>
          <w:iCs/>
          <w:sz w:val="22"/>
          <w:szCs w:val="22"/>
        </w:rPr>
        <w:t>Proposal 5: If u</w:t>
      </w:r>
      <w:r>
        <w:rPr>
          <w:b/>
          <w:bCs/>
          <w:i/>
          <w:iCs/>
          <w:sz w:val="22"/>
          <w:szCs w:val="22"/>
        </w:rPr>
        <w:t>ltra-deep sleep being introduced for 6G BS power model, study relative power consumption/transition time with that of deep sleep model by TR 38.864.</w:t>
      </w:r>
    </w:p>
    <w:p w14:paraId="186DF9F1">
      <w:pPr>
        <w:pStyle w:val="5"/>
        <w:rPr>
          <w:b/>
          <w:bCs/>
          <w:i/>
          <w:iCs/>
          <w:sz w:val="22"/>
          <w:szCs w:val="22"/>
        </w:rPr>
      </w:pPr>
      <w:r>
        <w:rPr>
          <w:b/>
          <w:bCs/>
          <w:i/>
          <w:iCs/>
          <w:sz w:val="22"/>
          <w:szCs w:val="22"/>
        </w:rPr>
        <w:t>Proposal 6: Study unified 6R UE power model around power states and state transitions at least considering,</w:t>
      </w:r>
    </w:p>
    <w:p w14:paraId="66354271">
      <w:pPr>
        <w:pStyle w:val="5"/>
        <w:numPr>
          <w:ilvl w:val="0"/>
          <w:numId w:val="20"/>
        </w:numPr>
        <w:ind w:left="840"/>
        <w:rPr>
          <w:b/>
          <w:bCs/>
          <w:i/>
          <w:iCs/>
        </w:rPr>
      </w:pPr>
      <w:r>
        <w:rPr>
          <w:b/>
          <w:bCs/>
          <w:i/>
          <w:iCs/>
        </w:rPr>
        <w:t xml:space="preserve">RRC CONNECTED Active: UE actively transmitting or receiving data. Power depends on transmit power, bandwidth, MIMO layers, etc. (We will parameterize this by </w:t>
      </w:r>
      <m:oMath>
        <m:sSub>
          <m:sSubPr>
            <m:ctrlPr>
              <w:rPr>
                <w:rFonts w:ascii="DejaVu Math TeX Gyre" w:hAnsi="DejaVu Math TeX Gyre"/>
                <w:b/>
                <w:bCs/>
                <w:i/>
                <w:iCs/>
              </w:rPr>
            </m:ctrlPr>
          </m:sSubPr>
          <m:e>
            <m:r>
              <m:rPr>
                <m:sty m:val="bi"/>
              </m:rPr>
              <w:rPr>
                <w:rFonts w:ascii="DejaVu Math TeX Gyre" w:hAnsi="DejaVu Math TeX Gyre"/>
              </w:rPr>
              <m:t>N</m:t>
            </m:r>
            <m:ctrlPr>
              <w:rPr>
                <w:rFonts w:ascii="DejaVu Math TeX Gyre" w:hAnsi="DejaVu Math TeX Gyre"/>
                <w:b/>
                <w:bCs/>
                <w:i/>
                <w:iCs/>
              </w:rPr>
            </m:ctrlPr>
          </m:e>
          <m:sub>
            <m:r>
              <m:rPr>
                <m:sty m:val="bi"/>
              </m:rPr>
              <w:rPr>
                <w:rFonts w:ascii="DejaVu Math TeX Gyre" w:hAnsi="DejaVu Math TeX Gyre"/>
              </w:rPr>
              <m:t>Rx</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ascii="DejaVu Math TeX Gyre" w:hAnsi="DejaVu Math TeX Gyre"/>
              </w:rPr>
              <m:t>N</m:t>
            </m:r>
            <m:ctrlPr>
              <w:rPr>
                <w:rFonts w:ascii="DejaVu Math TeX Gyre" w:hAnsi="DejaVu Math TeX Gyre"/>
                <w:b/>
                <w:bCs/>
                <w:i/>
                <w:iCs/>
              </w:rPr>
            </m:ctrlPr>
          </m:e>
          <m:sub>
            <m:r>
              <m:rPr>
                <m:sty m:val="bi"/>
              </m:rPr>
              <w:rPr>
                <w:rFonts w:ascii="DejaVu Math TeX Gyre" w:hAnsi="DejaVu Math TeX Gyre"/>
              </w:rPr>
              <m:t>Tx</m:t>
            </m:r>
            <m:ctrlPr>
              <w:rPr>
                <w:rFonts w:ascii="DejaVu Math TeX Gyre" w:hAnsi="DejaVu Math TeX Gyre"/>
                <w:b/>
                <w:bCs/>
                <w:i/>
                <w:iCs/>
              </w:rPr>
            </m:ctrlPr>
          </m:sub>
        </m:sSub>
        <m:r>
          <m:rPr>
            <m:sty m:val="bi"/>
          </m:rPr>
          <w:rPr>
            <w:rFonts w:ascii="DejaVu Math TeX Gyre" w:hAnsi="DejaVu Math TeX Gyre"/>
          </w:rPr>
          <m:t>,BW</m:t>
        </m:r>
      </m:oMath>
      <w:r>
        <w:rPr>
          <w:b/>
          <w:bCs/>
          <w:i/>
          <w:iCs/>
        </w:rPr>
        <w:t xml:space="preserve">, modulation, etc.) </w:t>
      </w:r>
    </w:p>
    <w:p w14:paraId="6DCC7025">
      <w:pPr>
        <w:pStyle w:val="5"/>
        <w:numPr>
          <w:ilvl w:val="0"/>
          <w:numId w:val="20"/>
        </w:numPr>
        <w:ind w:left="840"/>
        <w:rPr>
          <w:b/>
          <w:bCs/>
          <w:i/>
          <w:iCs/>
        </w:rPr>
      </w:pPr>
      <w:r>
        <w:rPr>
          <w:b/>
          <w:bCs/>
          <w:i/>
          <w:iCs/>
        </w:rPr>
        <w:t xml:space="preserve">RRC CONNECTED Inactive/DRX: UE in connected mode but in DRX sleep (no data currently). Power is similar to Idle DRX – periodic waking to monitor control channels. </w:t>
      </w:r>
    </w:p>
    <w:p w14:paraId="3A631813">
      <w:pPr>
        <w:pStyle w:val="5"/>
        <w:numPr>
          <w:ilvl w:val="0"/>
          <w:numId w:val="20"/>
        </w:numPr>
        <w:ind w:left="840"/>
        <w:rPr>
          <w:b/>
          <w:bCs/>
          <w:i/>
          <w:iCs/>
        </w:rPr>
      </w:pPr>
      <w:r>
        <w:rPr>
          <w:b/>
          <w:bCs/>
          <w:i/>
          <w:iCs/>
        </w:rPr>
        <w:t xml:space="preserve">RRC INACTIVE (if supported in 6G): UE in the 5G/6G inactive state. Similar behavior to Idle DRX or possibly using WUS. </w:t>
      </w:r>
    </w:p>
    <w:p w14:paraId="770C2FBB">
      <w:pPr>
        <w:pStyle w:val="5"/>
        <w:numPr>
          <w:ilvl w:val="0"/>
          <w:numId w:val="20"/>
        </w:numPr>
        <w:ind w:left="840"/>
        <w:rPr>
          <w:b/>
          <w:bCs/>
          <w:i/>
          <w:iCs/>
        </w:rPr>
      </w:pPr>
      <w:r>
        <w:rPr>
          <w:b/>
          <w:bCs/>
          <w:i/>
          <w:iCs/>
        </w:rPr>
        <w:t xml:space="preserve">RRC IDLE: UE camping on cell, waking for paging or cell updates. </w:t>
      </w:r>
    </w:p>
    <w:p w14:paraId="1B03D215">
      <w:pPr>
        <w:pStyle w:val="5"/>
        <w:numPr>
          <w:ilvl w:val="0"/>
          <w:numId w:val="20"/>
        </w:numPr>
        <w:ind w:left="840"/>
        <w:rPr>
          <w:b/>
          <w:bCs/>
          <w:i/>
          <w:iCs/>
        </w:rPr>
      </w:pPr>
      <w:r>
        <w:rPr>
          <w:b/>
          <w:bCs/>
          <w:i/>
          <w:iCs/>
        </w:rPr>
        <w:t>OFF/Deep Sleep: UE effectively off or in deepest sleep (e.g. airplane mode or power off of radio).</w:t>
      </w:r>
    </w:p>
    <w:p w14:paraId="2F4297F7">
      <w:pPr>
        <w:pStyle w:val="5"/>
        <w:rPr>
          <w:sz w:val="22"/>
          <w:szCs w:val="22"/>
        </w:rPr>
      </w:pPr>
    </w:p>
    <w:p w14:paraId="473B7BA5">
      <w:pPr>
        <w:pStyle w:val="5"/>
        <w:rPr>
          <w:b/>
          <w:bCs/>
          <w:i/>
          <w:iCs/>
          <w:sz w:val="22"/>
          <w:szCs w:val="22"/>
        </w:rPr>
      </w:pPr>
      <w:r>
        <w:rPr>
          <w:b/>
          <w:bCs/>
          <w:i/>
          <w:iCs/>
          <w:sz w:val="22"/>
          <w:szCs w:val="22"/>
        </w:rPr>
        <w:t xml:space="preserve">Proposal 7: </w:t>
      </w:r>
      <w:r>
        <w:rPr>
          <w:b/>
          <w:bCs/>
          <w:i/>
          <w:iCs/>
          <w:sz w:val="22"/>
          <w:szCs w:val="22"/>
          <w:lang w:eastAsia="zh-CN"/>
        </w:rPr>
        <w:t>D</w:t>
      </w:r>
      <w:r>
        <w:rPr>
          <w:b/>
          <w:bCs/>
          <w:i/>
          <w:iCs/>
          <w:sz w:val="22"/>
          <w:szCs w:val="22"/>
        </w:rPr>
        <w:t>efine a set of parameters for the unified 6G UE model, for example:</w:t>
      </w:r>
    </w:p>
    <w:p w14:paraId="777FF5B4">
      <w:pPr>
        <w:pStyle w:val="84"/>
        <w:numPr>
          <w:ilvl w:val="0"/>
          <w:numId w:val="29"/>
        </w:numPr>
        <w:rPr>
          <w:b/>
          <w:bCs/>
          <w:i/>
          <w:iCs/>
        </w:rPr>
      </w:pPr>
      <m:oMath>
        <m:sSub>
          <m:sSubPr>
            <m:ctrlPr>
              <w:rPr>
                <w:rFonts w:ascii="DejaVu Math TeX Gyre" w:hAnsi="DejaVu Math TeX Gyre"/>
                <w:b/>
                <w:bCs/>
                <w:i/>
                <w:iCs/>
              </w:rPr>
            </m:ctrlPr>
          </m:sSubPr>
          <m:e>
            <m:r>
              <m:rPr>
                <m:sty m:val="bi"/>
              </m:rPr>
              <w:rPr>
                <w:rFonts w:ascii="DejaVu Math TeX Gyre" w:hAnsi="DejaVu Math TeX Gyre"/>
              </w:rPr>
              <m:t>N</m:t>
            </m:r>
            <m:ctrlPr>
              <w:rPr>
                <w:rFonts w:ascii="DejaVu Math TeX Gyre" w:hAnsi="DejaVu Math TeX Gyre"/>
                <w:b/>
                <w:bCs/>
                <w:i/>
                <w:iCs/>
              </w:rPr>
            </m:ctrlPr>
          </m:e>
          <m:sub>
            <m:r>
              <m:rPr>
                <m:sty m:val="bi"/>
              </m:rPr>
              <w:rPr>
                <w:rFonts w:ascii="DejaVu Math TeX Gyre" w:hAnsi="DejaVu Math TeX Gyre"/>
              </w:rPr>
              <m:t>Rx</m:t>
            </m:r>
            <m:ctrlPr>
              <w:rPr>
                <w:rFonts w:ascii="DejaVu Math TeX Gyre" w:hAnsi="DejaVu Math TeX Gyre"/>
                <w:b/>
                <w:bCs/>
                <w:i/>
                <w:iCs/>
              </w:rPr>
            </m:ctrlPr>
          </m:sub>
        </m:sSub>
      </m:oMath>
      <w:r>
        <w:rPr>
          <w:b/>
          <w:bCs/>
          <w:i/>
          <w:iCs/>
        </w:rPr>
        <w:t xml:space="preserve">, </w:t>
      </w:r>
      <m:oMath>
        <m:sSub>
          <m:sSubPr>
            <m:ctrlPr>
              <w:rPr>
                <w:rFonts w:ascii="DejaVu Math TeX Gyre" w:hAnsi="DejaVu Math TeX Gyre"/>
                <w:b/>
                <w:bCs/>
                <w:i/>
                <w:iCs/>
              </w:rPr>
            </m:ctrlPr>
          </m:sSubPr>
          <m:e>
            <m:r>
              <m:rPr>
                <m:sty m:val="bi"/>
              </m:rPr>
              <w:rPr>
                <w:rFonts w:ascii="DejaVu Math TeX Gyre" w:hAnsi="DejaVu Math TeX Gyre"/>
              </w:rPr>
              <m:t>N</m:t>
            </m:r>
            <m:ctrlPr>
              <w:rPr>
                <w:rFonts w:ascii="DejaVu Math TeX Gyre" w:hAnsi="DejaVu Math TeX Gyre"/>
                <w:b/>
                <w:bCs/>
                <w:i/>
                <w:iCs/>
              </w:rPr>
            </m:ctrlPr>
          </m:e>
          <m:sub>
            <m:r>
              <m:rPr>
                <m:sty m:val="bi"/>
              </m:rPr>
              <w:rPr>
                <w:rFonts w:ascii="DejaVu Math TeX Gyre" w:hAnsi="DejaVu Math TeX Gyre"/>
              </w:rPr>
              <m:t>Tx</m:t>
            </m:r>
            <m:ctrlPr>
              <w:rPr>
                <w:rFonts w:ascii="DejaVu Math TeX Gyre" w:hAnsi="DejaVu Math TeX Gyre"/>
                <w:b/>
                <w:bCs/>
                <w:i/>
                <w:iCs/>
              </w:rPr>
            </m:ctrlPr>
          </m:sub>
        </m:sSub>
      </m:oMath>
      <w:r>
        <w:rPr>
          <w:b/>
          <w:bCs/>
          <w:i/>
          <w:iCs/>
        </w:rPr>
        <w:t>: number of RF chains.</w:t>
      </w:r>
    </w:p>
    <w:p w14:paraId="28BBE416">
      <w:pPr>
        <w:pStyle w:val="84"/>
        <w:numPr>
          <w:ilvl w:val="0"/>
          <w:numId w:val="29"/>
        </w:numPr>
        <w:rPr>
          <w:b/>
          <w:bCs/>
          <w:i/>
          <w:iCs/>
        </w:rPr>
      </w:pPr>
      <m:oMath>
        <m:sSub>
          <m:sSubPr>
            <m:ctrlPr>
              <w:rPr>
                <w:rFonts w:ascii="DejaVu Math TeX Gyre" w:hAnsi="DejaVu Math TeX Gyre"/>
                <w:b/>
                <w:bCs/>
                <w:i/>
                <w:iCs/>
              </w:rPr>
            </m:ctrlPr>
          </m:sSubPr>
          <m:e>
            <m:r>
              <m:rPr>
                <m:sty m:val="bi"/>
              </m:rPr>
              <w:rPr>
                <w:rFonts w:ascii="DejaVu Math TeX Gyre" w:hAnsi="DejaVu Math TeX Gyre"/>
              </w:rPr>
              <m:t>BW</m:t>
            </m:r>
            <m:ctrlPr>
              <w:rPr>
                <w:rFonts w:ascii="DejaVu Math TeX Gyre" w:hAnsi="DejaVu Math TeX Gyre"/>
                <w:b/>
                <w:bCs/>
                <w:i/>
                <w:iCs/>
              </w:rPr>
            </m:ctrlPr>
          </m:e>
          <m:sub>
            <m:r>
              <m:rPr>
                <m:sty m:val="bi"/>
              </m:rPr>
              <w:rPr>
                <w:rFonts w:ascii="DejaVu Math TeX Gyre" w:hAnsi="DejaVu Math TeX Gyre"/>
              </w:rPr>
              <m:t>max</m:t>
            </m:r>
            <m:ctrlPr>
              <w:rPr>
                <w:rFonts w:ascii="DejaVu Math TeX Gyre" w:hAnsi="DejaVu Math TeX Gyre"/>
                <w:b/>
                <w:bCs/>
                <w:i/>
                <w:iCs/>
              </w:rPr>
            </m:ctrlPr>
          </m:sub>
        </m:sSub>
      </m:oMath>
      <w:r>
        <w:rPr>
          <w:b/>
          <w:bCs/>
          <w:i/>
          <w:iCs/>
        </w:rPr>
        <w:t>: maximum supported bandwidth.</w:t>
      </w:r>
    </w:p>
    <w:p w14:paraId="50DA6E8B">
      <w:pPr>
        <w:pStyle w:val="84"/>
        <w:numPr>
          <w:ilvl w:val="0"/>
          <w:numId w:val="29"/>
        </w:numPr>
        <w:rPr>
          <w:b/>
          <w:bCs/>
          <w:i/>
          <w:iCs/>
        </w:rPr>
      </w:pPr>
      <m:oMath>
        <m:sSub>
          <m:sSubPr>
            <m:ctrlPr>
              <w:rPr>
                <w:rFonts w:ascii="DejaVu Math TeX Gyre" w:hAnsi="DejaVu Math TeX Gyre"/>
                <w:b/>
                <w:bCs/>
                <w:i/>
                <w:iCs/>
              </w:rPr>
            </m:ctrlPr>
          </m:sSubPr>
          <m:e>
            <m:r>
              <m:rPr>
                <m:sty m:val="bi"/>
              </m:rPr>
              <w:rPr>
                <w:rFonts w:ascii="DejaVu Math TeX Gyre" w:hAnsi="DejaVu Math TeX Gyre"/>
              </w:rPr>
              <m:t>P</m:t>
            </m:r>
            <m:ctrlPr>
              <w:rPr>
                <w:rFonts w:ascii="DejaVu Math TeX Gyre" w:hAnsi="DejaVu Math TeX Gyre"/>
                <w:b/>
                <w:bCs/>
                <w:i/>
                <w:iCs/>
              </w:rPr>
            </m:ctrlPr>
          </m:e>
          <m:sub>
            <m:r>
              <m:rPr>
                <m:sty m:val="bi"/>
              </m:rPr>
              <w:rPr>
                <w:rFonts w:ascii="DejaVu Math TeX Gyre" w:hAnsi="DejaVu Math TeX Gyre"/>
              </w:rPr>
              <m:t>max,UE</m:t>
            </m:r>
            <m:ctrlPr>
              <w:rPr>
                <w:rFonts w:ascii="DejaVu Math TeX Gyre" w:hAnsi="DejaVu Math TeX Gyre"/>
                <w:b/>
                <w:bCs/>
                <w:i/>
                <w:iCs/>
              </w:rPr>
            </m:ctrlPr>
          </m:sub>
        </m:sSub>
      </m:oMath>
      <w:r>
        <w:rPr>
          <w:b/>
          <w:bCs/>
          <w:i/>
          <w:iCs/>
        </w:rPr>
        <w:t>: max transmit power of UE (e.g. 23 dBm for handheld, 14 dBm~20dBm for other LP devices).</w:t>
      </w:r>
    </w:p>
    <w:p w14:paraId="7984B74B">
      <w:pPr>
        <w:pStyle w:val="84"/>
        <w:numPr>
          <w:ilvl w:val="0"/>
          <w:numId w:val="29"/>
        </w:numPr>
        <w:rPr>
          <w:b/>
          <w:bCs/>
          <w:i/>
          <w:iCs/>
        </w:rPr>
      </w:pPr>
      <m:oMath>
        <m:sSub>
          <m:sSubPr>
            <m:ctrlPr>
              <w:rPr>
                <w:rFonts w:ascii="DejaVu Math TeX Gyre" w:hAnsi="DejaVu Math TeX Gyre"/>
                <w:b/>
                <w:bCs/>
                <w:i/>
                <w:iCs/>
              </w:rPr>
            </m:ctrlPr>
          </m:sSubPr>
          <m:e>
            <m:r>
              <m:rPr>
                <m:sty m:val="bi"/>
              </m:rPr>
              <w:rPr>
                <w:rFonts w:ascii="DejaVu Math TeX Gyre" w:hAnsi="DejaVu Math TeX Gyre"/>
              </w:rPr>
              <m:t>b</m:t>
            </m:r>
            <m:ctrlPr>
              <w:rPr>
                <w:rFonts w:ascii="DejaVu Math TeX Gyre" w:hAnsi="DejaVu Math TeX Gyre"/>
                <w:b/>
                <w:bCs/>
                <w:i/>
                <w:iCs/>
              </w:rPr>
            </m:ctrlPr>
          </m:e>
          <m:sub>
            <m:r>
              <m:rPr>
                <m:sty m:val="bi"/>
              </m:rPr>
              <w:rPr>
                <w:rFonts w:ascii="DejaVu Math TeX Gyre" w:hAnsi="DejaVu Math TeX Gyre"/>
              </w:rPr>
              <m:t>WUR</m:t>
            </m:r>
            <m:ctrlPr>
              <w:rPr>
                <w:rFonts w:ascii="DejaVu Math TeX Gyre" w:hAnsi="DejaVu Math TeX Gyre"/>
                <w:b/>
                <w:bCs/>
                <w:i/>
                <w:iCs/>
              </w:rPr>
            </m:ctrlPr>
          </m:sub>
        </m:sSub>
      </m:oMath>
      <w:r>
        <w:rPr>
          <w:b/>
          <w:bCs/>
          <w:i/>
          <w:iCs/>
        </w:rPr>
        <w:t>: boolean for wake-up receiver presence.</w:t>
      </w:r>
    </w:p>
    <w:p w14:paraId="3630CFA6">
      <w:pPr>
        <w:pStyle w:val="84"/>
        <w:numPr>
          <w:ilvl w:val="0"/>
          <w:numId w:val="29"/>
        </w:numPr>
        <w:rPr>
          <w:b/>
          <w:bCs/>
          <w:i/>
          <w:iCs/>
        </w:rPr>
      </w:pPr>
      <m:oMath>
        <m:sSub>
          <m:sSubPr>
            <m:ctrlPr>
              <w:rPr>
                <w:rFonts w:ascii="DejaVu Math TeX Gyre" w:hAnsi="DejaVu Math TeX Gyre"/>
                <w:b/>
                <w:bCs/>
                <w:i/>
                <w:iCs/>
              </w:rPr>
            </m:ctrlPr>
          </m:sSubPr>
          <m:e>
            <m:r>
              <m:rPr>
                <m:sty m:val="bi"/>
              </m:rPr>
              <w:rPr>
                <w:rFonts w:ascii="DejaVu Math TeX Gyre" w:hAnsi="DejaVu Math TeX Gyre"/>
              </w:rPr>
              <m:t>I</m:t>
            </m:r>
            <m:ctrlPr>
              <w:rPr>
                <w:rFonts w:ascii="DejaVu Math TeX Gyre" w:hAnsi="DejaVu Math TeX Gyre"/>
                <w:b/>
                <w:bCs/>
                <w:i/>
                <w:iCs/>
              </w:rPr>
            </m:ctrlPr>
          </m:e>
          <m:sub>
            <m:r>
              <m:rPr>
                <m:sty m:val="bi"/>
              </m:rPr>
              <w:rPr>
                <w:rFonts w:ascii="DejaVu Math TeX Gyre" w:hAnsi="DejaVu Math TeX Gyre"/>
              </w:rPr>
              <m:t>deep_sleep</m:t>
            </m:r>
            <m:ctrlPr>
              <w:rPr>
                <w:rFonts w:ascii="DejaVu Math TeX Gyre" w:hAnsi="DejaVu Math TeX Gyre"/>
                <w:b/>
                <w:bCs/>
                <w:i/>
                <w:iCs/>
              </w:rPr>
            </m:ctrlPr>
          </m:sub>
        </m:sSub>
      </m:oMath>
      <w:r>
        <w:rPr>
          <w:b/>
          <w:bCs/>
          <w:i/>
          <w:iCs/>
        </w:rPr>
        <w:t>: baseline current draw in deepest sleep (could be a few microamps for IoT vs higher for smartphone due to larger circuits).</w:t>
      </w:r>
    </w:p>
    <w:p w14:paraId="2FC92BFE">
      <w:pPr>
        <w:pStyle w:val="84"/>
        <w:numPr>
          <w:ilvl w:val="0"/>
          <w:numId w:val="29"/>
        </w:numPr>
        <w:rPr>
          <w:b/>
          <w:bCs/>
          <w:i/>
          <w:iCs/>
        </w:rPr>
      </w:pPr>
      <m:oMath>
        <m:sSub>
          <m:sSubPr>
            <m:ctrlPr>
              <w:rPr>
                <w:rFonts w:ascii="DejaVu Math TeX Gyre" w:hAnsi="DejaVu Math TeX Gyre"/>
                <w:b/>
                <w:bCs/>
                <w:i/>
                <w:iCs/>
              </w:rPr>
            </m:ctrlPr>
          </m:sSubPr>
          <m:e>
            <m:r>
              <m:rPr>
                <m:sty m:val="bi"/>
              </m:rPr>
              <w:rPr>
                <w:rFonts w:ascii="DejaVu Math TeX Gyre" w:hAnsi="DejaVu Math TeX Gyre"/>
              </w:rPr>
              <m:t>T</m:t>
            </m:r>
            <m:ctrlPr>
              <w:rPr>
                <w:rFonts w:ascii="DejaVu Math TeX Gyre" w:hAnsi="DejaVu Math TeX Gyre"/>
                <w:b/>
                <w:bCs/>
                <w:i/>
                <w:iCs/>
              </w:rPr>
            </m:ctrlPr>
          </m:e>
          <m:sub>
            <m:r>
              <m:rPr>
                <m:sty m:val="bi"/>
              </m:rPr>
              <w:rPr>
                <w:rFonts w:ascii="DejaVu Math TeX Gyre" w:hAnsi="DejaVu Math TeX Gyre"/>
              </w:rPr>
              <m:t>DRX,Idle</m:t>
            </m:r>
            <m:ctrlPr>
              <w:rPr>
                <w:rFonts w:ascii="DejaVu Math TeX Gyre" w:hAnsi="DejaVu Math TeX Gyre"/>
                <w:b/>
                <w:bCs/>
                <w:i/>
                <w:iCs/>
              </w:rPr>
            </m:ctrlPr>
          </m:sub>
        </m:sSub>
      </m:oMath>
      <w:r>
        <w:rPr>
          <w:b/>
          <w:bCs/>
          <w:i/>
          <w:iCs/>
        </w:rPr>
        <w:t xml:space="preserve">, </w:t>
      </w:r>
      <m:oMath>
        <m:sSub>
          <m:sSubPr>
            <m:ctrlPr>
              <w:rPr>
                <w:rFonts w:ascii="DejaVu Math TeX Gyre" w:hAnsi="DejaVu Math TeX Gyre"/>
                <w:b/>
                <w:bCs/>
                <w:i/>
                <w:iCs/>
              </w:rPr>
            </m:ctrlPr>
          </m:sSubPr>
          <m:e>
            <m:r>
              <m:rPr>
                <m:sty m:val="bi"/>
              </m:rPr>
              <w:rPr>
                <w:rFonts w:ascii="DejaVu Math TeX Gyre" w:hAnsi="DejaVu Math TeX Gyre"/>
              </w:rPr>
              <m:t>T</m:t>
            </m:r>
            <m:ctrlPr>
              <w:rPr>
                <w:rFonts w:ascii="DejaVu Math TeX Gyre" w:hAnsi="DejaVu Math TeX Gyre"/>
                <w:b/>
                <w:bCs/>
                <w:i/>
                <w:iCs/>
              </w:rPr>
            </m:ctrlPr>
          </m:e>
          <m:sub>
            <m:r>
              <m:rPr>
                <m:sty m:val="bi"/>
              </m:rPr>
              <w:rPr>
                <w:rFonts w:ascii="DejaVu Math TeX Gyre" w:hAnsi="DejaVu Math TeX Gyre"/>
              </w:rPr>
              <m:t>DRX,Inactive</m:t>
            </m:r>
            <m:ctrlPr>
              <w:rPr>
                <w:rFonts w:ascii="DejaVu Math TeX Gyre" w:hAnsi="DejaVu Math TeX Gyre"/>
                <w:b/>
                <w:bCs/>
                <w:i/>
                <w:iCs/>
              </w:rPr>
            </m:ctrlPr>
          </m:sub>
        </m:sSub>
      </m:oMath>
      <w:r>
        <w:rPr>
          <w:b/>
          <w:bCs/>
          <w:i/>
          <w:iCs/>
        </w:rPr>
        <w:t>: DRX cycle lengths.</w:t>
      </w:r>
    </w:p>
    <w:p w14:paraId="0500A464">
      <w:pPr>
        <w:pStyle w:val="84"/>
        <w:numPr>
          <w:ilvl w:val="0"/>
          <w:numId w:val="29"/>
        </w:numPr>
        <w:rPr>
          <w:b/>
          <w:bCs/>
          <w:i/>
          <w:iCs/>
        </w:rPr>
      </w:pPr>
      <m:oMath>
        <m:sSub>
          <m:sSubPr>
            <m:ctrlPr>
              <w:rPr>
                <w:rFonts w:ascii="DejaVu Math TeX Gyre" w:hAnsi="DejaVu Math TeX Gyre"/>
                <w:b/>
                <w:bCs/>
                <w:i/>
                <w:iCs/>
              </w:rPr>
            </m:ctrlPr>
          </m:sSubPr>
          <m:e>
            <m:r>
              <m:rPr>
                <m:sty m:val="bi"/>
              </m:rPr>
              <w:rPr>
                <w:rFonts w:ascii="DejaVu Math TeX Gyre" w:hAnsi="DejaVu Math TeX Gyre"/>
              </w:rPr>
              <m:t>E</m:t>
            </m:r>
            <m:ctrlPr>
              <w:rPr>
                <w:rFonts w:ascii="DejaVu Math TeX Gyre" w:hAnsi="DejaVu Math TeX Gyre"/>
                <w:b/>
                <w:bCs/>
                <w:i/>
                <w:iCs/>
              </w:rPr>
            </m:ctrlPr>
          </m:e>
          <m:sub>
            <m:r>
              <m:rPr>
                <m:sty m:val="bi"/>
              </m:rPr>
              <w:rPr>
                <w:rFonts w:ascii="DejaVu Math TeX Gyre" w:hAnsi="DejaVu Math TeX Gyre"/>
              </w:rPr>
              <m:t>paging</m:t>
            </m:r>
            <m:ctrlPr>
              <w:rPr>
                <w:rFonts w:ascii="DejaVu Math TeX Gyre" w:hAnsi="DejaVu Math TeX Gyre"/>
                <w:b/>
                <w:bCs/>
                <w:i/>
                <w:iCs/>
              </w:rPr>
            </m:ctrlPr>
          </m:sub>
        </m:sSub>
      </m:oMath>
      <w:r>
        <w:rPr>
          <w:b/>
          <w:bCs/>
          <w:i/>
          <w:iCs/>
        </w:rPr>
        <w:t>: energy per paging occasion (depends on number of sync blocks, etc., but we can assume a typical value scaled by bandwidth and RF chains).</w:t>
      </w:r>
    </w:p>
    <w:p w14:paraId="24281FD8">
      <w:pPr>
        <w:pStyle w:val="84"/>
        <w:numPr>
          <w:ilvl w:val="0"/>
          <w:numId w:val="29"/>
        </w:numPr>
        <w:rPr>
          <w:b/>
          <w:bCs/>
          <w:i/>
          <w:iCs/>
        </w:rPr>
      </w:pPr>
      <m:oMath>
        <m:sSub>
          <m:sSubPr>
            <m:ctrlPr>
              <w:rPr>
                <w:rFonts w:ascii="DejaVu Math TeX Gyre" w:hAnsi="DejaVu Math TeX Gyre"/>
                <w:b/>
                <w:bCs/>
                <w:i/>
                <w:iCs/>
              </w:rPr>
            </m:ctrlPr>
          </m:sSubPr>
          <m:e>
            <m:r>
              <m:rPr>
                <m:sty m:val="bi"/>
              </m:rPr>
              <w:rPr>
                <w:rFonts w:ascii="DejaVu Math TeX Gyre" w:hAnsi="DejaVu Math TeX Gyre"/>
              </w:rPr>
              <m:t>E</m:t>
            </m:r>
            <m:ctrlPr>
              <w:rPr>
                <w:rFonts w:ascii="DejaVu Math TeX Gyre" w:hAnsi="DejaVu Math TeX Gyre"/>
                <w:b/>
                <w:bCs/>
                <w:i/>
                <w:iCs/>
              </w:rPr>
            </m:ctrlPr>
          </m:e>
          <m:sub>
            <m:r>
              <m:rPr>
                <m:sty m:val="bi"/>
              </m:rPr>
              <w:rPr>
                <w:rFonts w:ascii="DejaVu Math TeX Gyre" w:hAnsi="DejaVu Math TeX Gyre"/>
              </w:rPr>
              <m:t>TxPacket</m:t>
            </m:r>
            <m:ctrlPr>
              <w:rPr>
                <w:rFonts w:ascii="DejaVu Math TeX Gyre" w:hAnsi="DejaVu Math TeX Gyre"/>
                <w:b/>
                <w:bCs/>
                <w:i/>
                <w:iCs/>
              </w:rPr>
            </m:ctrlPr>
          </m:sub>
        </m:sSub>
      </m:oMath>
      <w:r>
        <w:rPr>
          <w:b/>
          <w:bCs/>
          <w:i/>
          <w:iCs/>
        </w:rPr>
        <w:t>: energy per uplink packet transmission (could be further detailed by data size, but for modeling, average power works).</w:t>
      </w:r>
    </w:p>
    <w:p w14:paraId="1ADD2550">
      <w:pPr>
        <w:pStyle w:val="5"/>
        <w:rPr>
          <w:b/>
          <w:bCs/>
          <w:i/>
          <w:iCs/>
          <w:sz w:val="22"/>
          <w:szCs w:val="22"/>
        </w:rPr>
      </w:pPr>
    </w:p>
    <w:p w14:paraId="26666826">
      <w:pPr>
        <w:pStyle w:val="5"/>
        <w:rPr>
          <w:b/>
          <w:bCs/>
          <w:sz w:val="22"/>
          <w:szCs w:val="22"/>
        </w:rPr>
      </w:pPr>
      <w:r>
        <w:rPr>
          <w:b/>
          <w:bCs/>
          <w:i/>
          <w:iCs/>
          <w:sz w:val="22"/>
          <w:szCs w:val="22"/>
        </w:rPr>
        <w:t>Proposal 8: Further consider how to study 6G UE power model when unification is not feasible or in FR3 band.</w:t>
      </w:r>
    </w:p>
    <w:p w14:paraId="26E1B5E5">
      <w:pPr>
        <w:rPr>
          <w:rFonts w:eastAsia="等线"/>
          <w:lang w:eastAsia="zh-CN"/>
        </w:rPr>
      </w:pPr>
    </w:p>
    <w:p w14:paraId="23676982">
      <w:pPr>
        <w:outlineLvl w:val="1"/>
        <w:rPr>
          <w:rFonts w:ascii="Times New Roman Bold Italic" w:hAnsi="Times New Roman Bold Italic" w:cs="Times New Roman Bold Italic"/>
          <w:b/>
          <w:bCs/>
          <w:i/>
          <w:iCs/>
          <w:szCs w:val="24"/>
          <w:highlight w:val="yellow"/>
          <w:u w:val="single"/>
        </w:rPr>
      </w:pPr>
      <w:bookmarkStart w:id="13" w:name="_GoBack"/>
      <w:bookmarkEnd w:id="13"/>
      <w:r>
        <w:rPr>
          <w:rFonts w:hint="eastAsia" w:ascii="Times New Roman Bold Italic" w:hAnsi="Times New Roman Bold Italic" w:cs="Times New Roman Bold Italic"/>
          <w:b/>
          <w:bCs/>
          <w:i/>
          <w:iCs/>
          <w:szCs w:val="24"/>
          <w:highlight w:val="yellow"/>
          <w:u w:val="single"/>
          <w:lang w:val="en-US" w:eastAsia="zh-CN"/>
        </w:rPr>
        <w:t xml:space="preserve">6.3 </w:t>
      </w:r>
      <w:r>
        <w:rPr>
          <w:rFonts w:ascii="Times New Roman Bold Italic" w:hAnsi="Times New Roman Bold Italic" w:cs="Times New Roman Bold Italic"/>
          <w:b/>
          <w:bCs/>
          <w:i/>
          <w:iCs/>
          <w:szCs w:val="24"/>
          <w:highlight w:val="yellow"/>
          <w:u w:val="single"/>
          <w:lang w:eastAsia="zh-CN"/>
        </w:rPr>
        <w:t>M</w:t>
      </w:r>
      <w:r>
        <w:rPr>
          <w:rFonts w:ascii="Times New Roman Bold Italic" w:hAnsi="Times New Roman Bold Italic" w:cs="Times New Roman Bold Italic"/>
          <w:b/>
          <w:bCs/>
          <w:i/>
          <w:iCs/>
          <w:szCs w:val="24"/>
          <w:highlight w:val="yellow"/>
          <w:u w:val="single"/>
        </w:rPr>
        <w:t xml:space="preserve">etrics for </w:t>
      </w:r>
      <w:r>
        <w:rPr>
          <w:rFonts w:ascii="Times New Roman Bold Italic" w:hAnsi="Times New Roman Bold Italic" w:cs="Times New Roman Bold Italic"/>
          <w:b/>
          <w:bCs/>
          <w:i/>
          <w:iCs/>
          <w:szCs w:val="24"/>
          <w:highlight w:val="yellow"/>
          <w:u w:val="single"/>
          <w:lang w:eastAsia="zh-CN"/>
        </w:rPr>
        <w:t>6GR</w:t>
      </w:r>
      <w:r>
        <w:rPr>
          <w:rFonts w:ascii="Times New Roman Bold Italic" w:hAnsi="Times New Roman Bold Italic" w:cs="Times New Roman Bold Italic"/>
          <w:b/>
          <w:bCs/>
          <w:i/>
          <w:iCs/>
          <w:szCs w:val="24"/>
          <w:highlight w:val="yellow"/>
          <w:u w:val="single"/>
        </w:rPr>
        <w:t xml:space="preserve"> energy efficiency</w:t>
      </w:r>
    </w:p>
    <w:p w14:paraId="2C29AFFC">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eastAsia="zh-CN"/>
        </w:rPr>
        <w:t>3</w:t>
      </w:r>
      <w:r>
        <w:rPr>
          <w:rFonts w:ascii="Times New Roman Bold Italic" w:hAnsi="Times New Roman Bold Italic" w:cs="Times New Roman Bold Italic"/>
          <w:b/>
          <w:bCs/>
          <w:i/>
          <w:iCs/>
          <w:lang w:eastAsia="zh-CN"/>
        </w:rPr>
        <w:t>: The amount of information (bits) transmitted per unit of energy (Joule) as baseline parameter of energy efficiency has been defined in IMT-2020.</w:t>
      </w:r>
    </w:p>
    <w:p w14:paraId="59D1B1D7">
      <w:pPr>
        <w:rPr>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eastAsia="zh-CN"/>
        </w:rPr>
        <w:t>4</w:t>
      </w:r>
      <w:r>
        <w:rPr>
          <w:rFonts w:ascii="Times New Roman Bold Italic" w:hAnsi="Times New Roman Bold Italic" w:cs="Times New Roman Bold Italic"/>
          <w:b/>
          <w:bCs/>
          <w:i/>
          <w:iCs/>
          <w:lang w:eastAsia="zh-CN"/>
        </w:rPr>
        <w:t>: Simulation results highlight how deep sleep and dynamic resource adaptation in Config B significantly cut energy use during idle or light load periods, aligning with 3GPP’s defined sleep states (micro/light/deep) for NR base stations.</w:t>
      </w:r>
    </w:p>
    <w:p w14:paraId="2FA091D4">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eastAsia="zh-CN"/>
        </w:rPr>
        <w:t>5</w:t>
      </w:r>
      <w:r>
        <w:rPr>
          <w:rFonts w:ascii="Times New Roman Bold Italic" w:hAnsi="Times New Roman Bold Italic" w:cs="Times New Roman Bold Italic"/>
          <w:b/>
          <w:bCs/>
          <w:i/>
          <w:iCs/>
          <w:lang w:eastAsia="zh-CN"/>
        </w:rPr>
        <w:t>: Single metric like bit/J need to be complemented with other aspects for a holistic view, other potential parameters may be considered for 6G study like active data energy efficiency, idle power consumption, or wake-up/transition efficiency, etc.</w:t>
      </w:r>
    </w:p>
    <w:p w14:paraId="7C052A12">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Observation 2</w:t>
      </w:r>
      <w:r>
        <w:rPr>
          <w:rFonts w:hint="eastAsia" w:ascii="Times New Roman Bold Italic" w:hAnsi="Times New Roman Bold Italic" w:cs="Times New Roman Bold Italic"/>
          <w:b/>
          <w:bCs/>
          <w:i/>
          <w:iCs/>
          <w:lang w:eastAsia="zh-CN"/>
        </w:rPr>
        <w:t>6</w:t>
      </w:r>
      <w:r>
        <w:rPr>
          <w:rFonts w:ascii="Times New Roman Bold Italic" w:hAnsi="Times New Roman Bold Italic" w:cs="Times New Roman Bold Italic"/>
          <w:b/>
          <w:bCs/>
          <w:i/>
          <w:iCs/>
          <w:lang w:eastAsia="zh-CN"/>
        </w:rPr>
        <w:t>: Except defining separate energy efficiency parameters for UEs and network nodes, 6G might also consider the end-to-end energy efficiency of the communication system. However, end-to-end metrics are harder to allocate and implement since operators and users manage different portions of the power budget, and business models are separate.</w:t>
      </w:r>
    </w:p>
    <w:p w14:paraId="640AA943">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lang w:eastAsia="zh-CN"/>
        </w:rPr>
        <w:t>Observation 2</w:t>
      </w:r>
      <w:r>
        <w:rPr>
          <w:rFonts w:hint="eastAsia" w:ascii="Times New Roman Bold Italic" w:hAnsi="Times New Roman Bold Italic" w:cs="Times New Roman Bold Italic"/>
          <w:b/>
          <w:bCs/>
          <w:i/>
          <w:iCs/>
          <w:sz w:val="22"/>
          <w:szCs w:val="22"/>
          <w:lang w:eastAsia="zh-CN"/>
        </w:rPr>
        <w:t>7</w:t>
      </w:r>
      <w:r>
        <w:rPr>
          <w:rFonts w:ascii="Times New Roman Bold Italic" w:hAnsi="Times New Roman Bold Italic" w:cs="Times New Roman Bold Italic"/>
          <w:b/>
          <w:bCs/>
          <w:i/>
          <w:iCs/>
          <w:sz w:val="22"/>
          <w:szCs w:val="22"/>
          <w:lang w:eastAsia="zh-CN"/>
        </w:rPr>
        <w:t xml:space="preserve">: </w:t>
      </w:r>
      <w:r>
        <w:rPr>
          <w:rFonts w:ascii="Times New Roman Bold Italic" w:hAnsi="Times New Roman Bold Italic" w:cs="Times New Roman Bold Italic"/>
          <w:b/>
          <w:bCs/>
          <w:i/>
          <w:iCs/>
          <w:sz w:val="22"/>
          <w:szCs w:val="22"/>
        </w:rPr>
        <w:t>IMT-2030 framework explicitly calls for improving energy efficiency (bits</w:t>
      </w:r>
      <w:r>
        <w:rPr>
          <w:rFonts w:ascii="Times New Roman Bold Italic" w:hAnsi="Times New Roman Bold Italic" w:cs="Times New Roman Bold Italic"/>
          <w:b/>
          <w:bCs/>
          <w:i/>
          <w:iCs/>
          <w:sz w:val="22"/>
          <w:szCs w:val="22"/>
          <w:lang w:eastAsia="zh-CN"/>
        </w:rPr>
        <w:t>/</w:t>
      </w:r>
      <w:r>
        <w:rPr>
          <w:rFonts w:ascii="Times New Roman Bold Italic" w:hAnsi="Times New Roman Bold Italic" w:cs="Times New Roman Bold Italic"/>
          <w:b/>
          <w:bCs/>
          <w:i/>
          <w:iCs/>
          <w:sz w:val="22"/>
          <w:szCs w:val="22"/>
        </w:rPr>
        <w:t>J) in step with capacity increases to minimize overall power usage, reflecting a goal to boost SE and EE together where possible, which is up to the services needs.</w:t>
      </w:r>
    </w:p>
    <w:p w14:paraId="5CBAC5D1">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 xml:space="preserve">Observation </w:t>
      </w:r>
      <w:r>
        <w:rPr>
          <w:rFonts w:ascii="Times New Roman Bold Italic" w:hAnsi="Times New Roman Bold Italic" w:cs="Times New Roman Bold Italic"/>
          <w:b/>
          <w:bCs/>
          <w:i/>
          <w:iCs/>
          <w:sz w:val="22"/>
          <w:szCs w:val="22"/>
          <w:lang w:eastAsia="zh-CN"/>
        </w:rPr>
        <w:t>2</w:t>
      </w:r>
      <w:r>
        <w:rPr>
          <w:rFonts w:hint="eastAsia" w:ascii="Times New Roman Bold Italic" w:hAnsi="Times New Roman Bold Italic" w:cs="Times New Roman Bold Italic"/>
          <w:b/>
          <w:bCs/>
          <w:i/>
          <w:iCs/>
          <w:sz w:val="22"/>
          <w:szCs w:val="22"/>
          <w:lang w:eastAsia="zh-CN"/>
        </w:rPr>
        <w:t>8</w:t>
      </w:r>
      <w:r>
        <w:rPr>
          <w:rFonts w:ascii="Times New Roman Bold Italic" w:hAnsi="Times New Roman Bold Italic" w:cs="Times New Roman Bold Italic"/>
          <w:b/>
          <w:bCs/>
          <w:i/>
          <w:iCs/>
          <w:sz w:val="22"/>
          <w:szCs w:val="22"/>
        </w:rPr>
        <w:t>: The 6G radio access network will likely be adaptive to intelligently balance SE, EE, and QoS per scenario, ensuring that high performance and low latency are delivered when needed, while idle resources are minimized to save energy</w:t>
      </w:r>
    </w:p>
    <w:p w14:paraId="654E399E">
      <w:pPr>
        <w:rPr>
          <w:rFonts w:ascii="Times New Roman Bold Italic" w:hAnsi="Times New Roman Bold Italic" w:cs="Times New Roman Bold Italic"/>
          <w:b/>
          <w:bCs/>
          <w:i/>
          <w:iCs/>
          <w:lang w:eastAsia="zh-CN"/>
        </w:rPr>
      </w:pPr>
    </w:p>
    <w:p w14:paraId="49BA5FF0">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eastAsia="zh-CN"/>
        </w:rPr>
        <w:t>9</w:t>
      </w:r>
      <w:r>
        <w:rPr>
          <w:rFonts w:ascii="Times New Roman Bold Italic" w:hAnsi="Times New Roman Bold Italic" w:cs="Times New Roman Bold Italic"/>
          <w:b/>
          <w:bCs/>
          <w:i/>
          <w:iCs/>
          <w:lang w:eastAsia="zh-CN"/>
        </w:rPr>
        <w:t>: Energy efficiency is baseline-defined as bits per Joule, expanded in 6G toward sustainability including equipment longevity, reuse, and recycling</w:t>
      </w:r>
      <w:r>
        <w:rPr>
          <w:rFonts w:hint="eastAsia" w:ascii="Times New Roman Bold Italic" w:hAnsi="Times New Roman Bold Italic" w:cs="Times New Roman Bold Italic"/>
          <w:b/>
          <w:bCs/>
          <w:i/>
          <w:iCs/>
          <w:lang w:eastAsia="zh-CN"/>
        </w:rPr>
        <w:t xml:space="preserve"> for</w:t>
      </w:r>
      <w:r>
        <w:rPr>
          <w:rFonts w:ascii="Times New Roman Bold Italic" w:hAnsi="Times New Roman Bold Italic" w:cs="Times New Roman Bold Italic"/>
          <w:b/>
          <w:bCs/>
          <w:i/>
          <w:iCs/>
          <w:lang w:eastAsia="zh-CN"/>
        </w:rPr>
        <w:t xml:space="preserve"> NW or UE or collaborative design.</w:t>
      </w:r>
    </w:p>
    <w:p w14:paraId="14D604EA">
      <w:pPr>
        <w:pStyle w:val="5"/>
        <w:rPr>
          <w:rFonts w:hint="eastAsia"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 xml:space="preserve">Proposal </w:t>
      </w:r>
      <w:r>
        <w:rPr>
          <w:rFonts w:hint="eastAsia" w:ascii="Times New Roman Bold Italic" w:hAnsi="Times New Roman Bold Italic" w:cs="Times New Roman Bold Italic"/>
          <w:b/>
          <w:bCs/>
          <w:i/>
          <w:iCs/>
          <w:sz w:val="22"/>
          <w:szCs w:val="22"/>
          <w:lang w:eastAsia="zh-CN"/>
        </w:rPr>
        <w:t>10</w:t>
      </w:r>
      <w:r>
        <w:rPr>
          <w:rFonts w:ascii="Times New Roman Bold Italic" w:hAnsi="Times New Roman Bold Italic" w:cs="Times New Roman Bold Italic"/>
          <w:b/>
          <w:bCs/>
          <w:i/>
          <w:iCs/>
          <w:sz w:val="22"/>
          <w:szCs w:val="22"/>
          <w:lang w:eastAsia="zh-CN"/>
        </w:rPr>
        <w:t>:</w:t>
      </w:r>
      <w:r>
        <w:rPr>
          <w:rFonts w:hint="eastAsia" w:ascii="Times New Roman Bold Italic" w:hAnsi="Times New Roman Bold Italic" w:cs="Times New Roman Bold Italic"/>
          <w:b/>
          <w:bCs/>
          <w:i/>
          <w:iCs/>
          <w:sz w:val="22"/>
          <w:szCs w:val="22"/>
          <w:lang w:eastAsia="zh-CN"/>
        </w:rPr>
        <w:t xml:space="preserve"> 6G should jointly optimize spectrum efficiency, energy efficiency, QoS, and </w:t>
      </w:r>
      <w:r>
        <w:rPr>
          <w:rFonts w:ascii="Times New Roman Bold Italic" w:hAnsi="Times New Roman Bold Italic" w:cs="Times New Roman Bold Italic"/>
          <w:b/>
          <w:bCs/>
          <w:i/>
          <w:iCs/>
          <w:sz w:val="22"/>
          <w:szCs w:val="22"/>
          <w:lang w:eastAsia="zh-CN"/>
        </w:rPr>
        <w:t>latency or coverage</w:t>
      </w:r>
      <w:r>
        <w:rPr>
          <w:rFonts w:hint="eastAsia" w:ascii="Times New Roman Bold Italic" w:hAnsi="Times New Roman Bold Italic" w:cs="Times New Roman Bold Italic"/>
          <w:b/>
          <w:bCs/>
          <w:i/>
          <w:iCs/>
          <w:sz w:val="22"/>
          <w:szCs w:val="22"/>
          <w:lang w:eastAsia="zh-CN"/>
        </w:rPr>
        <w:t xml:space="preserve"> using adaptive RAN designs that balance throughput, latency, and power consumption across diverse service requirements.</w:t>
      </w:r>
    </w:p>
    <w:p w14:paraId="6642BD3A">
      <w:pPr>
        <w:pStyle w:val="5"/>
        <w:rPr>
          <w:rFonts w:hint="eastAsia" w:ascii="Times New Roman Bold Italic" w:hAnsi="Times New Roman Bold Italic" w:cs="Times New Roman Bold Italic"/>
          <w:b/>
          <w:bCs/>
          <w:i/>
          <w:iCs/>
          <w:sz w:val="22"/>
          <w:szCs w:val="22"/>
          <w:lang w:eastAsia="zh-CN"/>
        </w:rPr>
      </w:pPr>
      <w:r>
        <w:rPr>
          <w:rFonts w:hint="eastAsia" w:ascii="Times New Roman Bold Italic" w:hAnsi="Times New Roman Bold Italic" w:cs="Times New Roman Bold Italic"/>
          <w:b/>
          <w:bCs/>
          <w:i/>
          <w:iCs/>
          <w:sz w:val="22"/>
          <w:szCs w:val="22"/>
          <w:lang w:val="en-US" w:eastAsia="zh-CN"/>
        </w:rPr>
        <w:t>Proposal 11: Consider</w:t>
      </w:r>
      <w:r>
        <w:rPr>
          <w:rFonts w:hint="default" w:ascii="Times New Roman Bold Italic" w:hAnsi="Times New Roman Bold Italic" w:cs="Times New Roman Bold Italic"/>
          <w:b/>
          <w:bCs/>
          <w:i/>
          <w:iCs/>
          <w:sz w:val="22"/>
          <w:szCs w:val="22"/>
          <w:lang w:val="en-US" w:eastAsia="zh-CN"/>
        </w:rPr>
        <w:t xml:space="preserve"> how metrics for 6GR</w:t>
      </w:r>
      <w:r>
        <w:rPr>
          <w:rFonts w:hint="eastAsia" w:ascii="Times New Roman Bold Italic" w:hAnsi="Times New Roman Bold Italic" w:cs="Times New Roman Bold Italic"/>
          <w:b/>
          <w:bCs/>
          <w:i/>
          <w:iCs/>
          <w:sz w:val="22"/>
          <w:szCs w:val="22"/>
          <w:lang w:val="en-US" w:eastAsia="zh-CN"/>
        </w:rPr>
        <w:t xml:space="preserve"> power</w:t>
      </w:r>
      <w:r>
        <w:rPr>
          <w:rFonts w:hint="default" w:ascii="Times New Roman Bold Italic" w:hAnsi="Times New Roman Bold Italic" w:cs="Times New Roman Bold Italic"/>
          <w:b/>
          <w:bCs/>
          <w:i/>
          <w:iCs/>
          <w:sz w:val="22"/>
          <w:szCs w:val="22"/>
          <w:lang w:val="en-US" w:eastAsia="zh-CN"/>
        </w:rPr>
        <w:t xml:space="preserve"> consumption impacts on cell level or UE level related 6GR energy efficiency technologies, e.g., DTX/DRX configuration or PDCCH monitoring, etc.</w:t>
      </w:r>
    </w:p>
    <w:p w14:paraId="26DB80B6">
      <w:pPr>
        <w:rPr>
          <w:rFonts w:ascii="Times New Roman Bold Italic" w:hAnsi="Times New Roman Bold Italic" w:cs="Times New Roman Bold Italic"/>
          <w:b/>
          <w:bCs/>
          <w:i/>
          <w:iCs/>
          <w:lang w:eastAsia="zh-CN"/>
        </w:rPr>
      </w:pPr>
    </w:p>
    <w:p w14:paraId="36EF473B">
      <w:pPr>
        <w:outlineLvl w:val="1"/>
        <w:rPr>
          <w:rFonts w:ascii="Times New Roman Bold Italic" w:hAnsi="Times New Roman Bold Italic" w:cs="Times New Roman Bold Italic"/>
          <w:b/>
          <w:bCs/>
          <w:i/>
          <w:iCs/>
          <w:szCs w:val="24"/>
          <w:highlight w:val="yellow"/>
          <w:u w:val="single"/>
          <w:lang w:eastAsia="zh-CN"/>
        </w:rPr>
      </w:pPr>
      <w:r>
        <w:rPr>
          <w:rFonts w:hint="eastAsia" w:ascii="Times New Roman Bold Italic" w:hAnsi="Times New Roman Bold Italic" w:cs="Times New Roman Bold Italic"/>
          <w:b/>
          <w:bCs/>
          <w:i/>
          <w:iCs/>
          <w:szCs w:val="24"/>
          <w:highlight w:val="yellow"/>
          <w:u w:val="single"/>
          <w:lang w:val="en-US" w:eastAsia="zh-CN"/>
        </w:rPr>
        <w:t xml:space="preserve">6.4 </w:t>
      </w:r>
      <w:r>
        <w:rPr>
          <w:rFonts w:ascii="Times New Roman Bold Italic" w:hAnsi="Times New Roman Bold Italic" w:cs="Times New Roman Bold Italic"/>
          <w:b/>
          <w:bCs/>
          <w:i/>
          <w:iCs/>
          <w:szCs w:val="24"/>
          <w:highlight w:val="yellow"/>
          <w:u w:val="single"/>
          <w:lang w:eastAsia="zh-CN"/>
        </w:rPr>
        <w:t>6G</w:t>
      </w:r>
      <w:r>
        <w:rPr>
          <w:rFonts w:hint="eastAsia" w:ascii="Times New Roman Bold Italic" w:hAnsi="Times New Roman Bold Italic" w:cs="Times New Roman Bold Italic"/>
          <w:b/>
          <w:bCs/>
          <w:i/>
          <w:iCs/>
          <w:szCs w:val="24"/>
          <w:highlight w:val="yellow"/>
          <w:u w:val="single"/>
          <w:lang w:eastAsia="zh-CN"/>
        </w:rPr>
        <w:t>R</w:t>
      </w:r>
      <w:r>
        <w:rPr>
          <w:rFonts w:ascii="Times New Roman Bold Italic" w:hAnsi="Times New Roman Bold Italic" w:cs="Times New Roman Bold Italic"/>
          <w:b/>
          <w:bCs/>
          <w:i/>
          <w:iCs/>
          <w:szCs w:val="24"/>
          <w:highlight w:val="yellow"/>
          <w:u w:val="single"/>
          <w:lang w:eastAsia="zh-CN"/>
        </w:rPr>
        <w:t xml:space="preserve"> energy efficiency considerations</w:t>
      </w:r>
    </w:p>
    <w:p w14:paraId="7F1CF247">
      <w:pPr>
        <w:rPr>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29</w:t>
      </w:r>
      <w:r>
        <w:rPr>
          <w:rFonts w:ascii="Times New Roman Bold Italic" w:hAnsi="Times New Roman Bold Italic" w:cs="Times New Roman Bold Italic"/>
          <w:b/>
          <w:bCs/>
          <w:i/>
          <w:iCs/>
          <w:lang w:eastAsia="zh-CN"/>
        </w:rPr>
        <w:t>: 6G requires rapid activation and dormancy of secondary carriers, support for uplink-/downlink-only cells, and coordination with DRX/DTX to enable efficient multi-carrier energy savings.</w:t>
      </w:r>
    </w:p>
    <w:p w14:paraId="4864C31E">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30</w:t>
      </w:r>
      <w:r>
        <w:rPr>
          <w:rFonts w:hint="default" w:ascii="Times New Roman Bold Italic" w:hAnsi="Times New Roman Bold Italic" w:cs="Times New Roman Bold Italic"/>
          <w:b/>
          <w:bCs/>
          <w:i/>
          <w:iCs/>
          <w:lang w:eastAsia="zh-CN"/>
        </w:rPr>
        <w:t>: Energy improvement in spatial domain would be achieved by fewer active panels/Rx chains and fewer active beams on the UE and fewer ports/elements, muted TxRUs, fewer beams, and muted TRPs on the base station.</w:t>
      </w:r>
    </w:p>
    <w:p w14:paraId="24D5C5B1">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31</w:t>
      </w:r>
      <w:r>
        <w:rPr>
          <w:rFonts w:ascii="Times New Roman Bold Italic" w:hAnsi="Times New Roman Bold Italic" w:cs="Times New Roman Bold Italic"/>
          <w:b/>
          <w:bCs/>
          <w:i/>
          <w:iCs/>
          <w:lang w:eastAsia="zh-CN"/>
        </w:rPr>
        <w:t>: Some schemes for PDCCH monitoring have been proposed in companies in last meeting: e.g., smarter PDCCH scheduling, skipping,</w:t>
      </w:r>
      <w:r>
        <w:rPr>
          <w:lang w:eastAsia="zh-CN"/>
        </w:rPr>
        <w:t xml:space="preserve"> </w:t>
      </w:r>
      <w:r>
        <w:rPr>
          <w:rFonts w:ascii="Times New Roman Bold Italic" w:hAnsi="Times New Roman Bold Italic" w:cs="Times New Roman Bold Italic"/>
          <w:b/>
          <w:bCs/>
          <w:i/>
          <w:iCs/>
          <w:lang w:eastAsia="zh-CN"/>
        </w:rPr>
        <w:t>and predictable grants reduce unnecessary monitoring, decouple RF/baseband activity, and avoid late uplink changes, thereby improving UE energy efficiency.</w:t>
      </w:r>
    </w:p>
    <w:p w14:paraId="132ACB38">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32</w:t>
      </w:r>
      <w:r>
        <w:rPr>
          <w:rFonts w:ascii="Times New Roman Bold Italic" w:hAnsi="Times New Roman Bold Italic" w:cs="Times New Roman Bold Italic"/>
          <w:b/>
          <w:bCs/>
          <w:i/>
          <w:iCs/>
          <w:lang w:eastAsia="zh-CN"/>
        </w:rPr>
        <w:t>: 6G DRX should not be a single mechanism but a state-specific, capability-aware, and coordination-ready framework, delivering predictable energy savings while preserving responsiveness across diverse devices and services</w:t>
      </w:r>
    </w:p>
    <w:p w14:paraId="423320AE">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33</w:t>
      </w:r>
      <w:r>
        <w:rPr>
          <w:rFonts w:ascii="Times New Roman Bold Italic" w:hAnsi="Times New Roman Bold Italic" w:cs="Times New Roman Bold Italic"/>
          <w:b/>
          <w:bCs/>
          <w:i/>
          <w:iCs/>
          <w:lang w:eastAsia="zh-CN"/>
        </w:rPr>
        <w:t>: 6G is expected to natively support long DRX cycles and WUS from its first release, leveraging the 5G-Advanced WUR features (Rel-18/19) to benefit even high-capability devices operating in low-power modes as well as massive-scale LPWA.</w:t>
      </w:r>
    </w:p>
    <w:p w14:paraId="45E0E240">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34</w:t>
      </w:r>
      <w:r>
        <w:rPr>
          <w:rFonts w:hint="eastAsia" w:ascii="Times New Roman Bold Italic" w:hAnsi="Times New Roman Bold Italic" w:cs="Times New Roman Bold Italic"/>
          <w:b/>
          <w:bCs/>
          <w:i/>
          <w:iCs/>
          <w:lang w:eastAsia="zh-CN"/>
        </w:rPr>
        <w:t>：</w:t>
      </w:r>
      <w:r>
        <w:rPr>
          <w:rFonts w:ascii="Times New Roman Bold Italic" w:hAnsi="Times New Roman Bold Italic" w:cs="Times New Roman Bold Italic"/>
          <w:b/>
          <w:bCs/>
          <w:i/>
          <w:iCs/>
          <w:lang w:eastAsia="zh-CN"/>
        </w:rPr>
        <w:t>Several challenges remain in applying low-power signals to all 6G use cases, e.g., coverage and reliability, overhead and efficient data transfer.</w:t>
      </w:r>
    </w:p>
    <w:p w14:paraId="27C29497">
      <w:pPr>
        <w:rPr>
          <w:rFonts w:ascii="Times New Roman Bold Italic" w:hAnsi="Times New Roman Bold Italic" w:cs="Times New Roman Bold Italic" w:eastAsiaTheme="minorEastAsia"/>
          <w:b/>
          <w:i/>
          <w:iCs/>
          <w:szCs w:val="20"/>
          <w:lang w:eastAsia="zh-CN"/>
        </w:rPr>
      </w:pPr>
      <w:r>
        <w:rPr>
          <w:rFonts w:ascii="Times New Roman Bold Italic" w:hAnsi="Times New Roman Bold Italic" w:cs="Times New Roman Bold Italic" w:eastAsiaTheme="minorEastAsia"/>
          <w:b/>
          <w:i/>
          <w:iCs/>
          <w:szCs w:val="20"/>
          <w:lang w:eastAsia="zh-CN"/>
        </w:rPr>
        <w:t xml:space="preserve">Observation </w:t>
      </w:r>
      <w:r>
        <w:rPr>
          <w:rFonts w:hint="default" w:ascii="Times New Roman Bold Italic" w:hAnsi="Times New Roman Bold Italic" w:cs="Times New Roman Bold Italic" w:eastAsiaTheme="minorEastAsia"/>
          <w:b/>
          <w:i/>
          <w:iCs/>
          <w:szCs w:val="20"/>
          <w:lang w:val="en-US" w:eastAsia="zh-CN"/>
        </w:rPr>
        <w:t>35</w:t>
      </w:r>
      <w:r>
        <w:rPr>
          <w:rFonts w:ascii="Times New Roman Bold Italic" w:hAnsi="Times New Roman Bold Italic" w:cs="Times New Roman Bold Italic" w:eastAsiaTheme="minorEastAsia"/>
          <w:b/>
          <w:i/>
          <w:iCs/>
          <w:szCs w:val="20"/>
          <w:lang w:eastAsia="zh-CN"/>
        </w:rPr>
        <w:t>: The DRX/eDRX or PEI/LP-WUS mechanisms have similar functionalities, which results in system complexity.</w:t>
      </w:r>
    </w:p>
    <w:p w14:paraId="078CF307">
      <w:pPr>
        <w:rPr>
          <w:lang w:eastAsia="zh-CN"/>
        </w:rPr>
      </w:pPr>
      <w:r>
        <w:rPr>
          <w:rFonts w:hint="eastAsia" w:ascii="Times New Roman Bold Italic" w:hAnsi="Times New Roman Bold Italic" w:cs="Times New Roman Bold Italic"/>
          <w:b/>
          <w:bCs/>
          <w:i/>
          <w:iCs/>
          <w:lang w:eastAsia="zh-CN"/>
        </w:rPr>
        <w:t>Observation</w:t>
      </w:r>
      <w:r>
        <w:rPr>
          <w:rFonts w:hint="default" w:ascii="Times New Roman Bold Italic" w:hAnsi="Times New Roman Bold Italic" w:cs="Times New Roman Bold Italic"/>
          <w:b/>
          <w:bCs/>
          <w:i/>
          <w:iCs/>
          <w:lang w:val="en-US" w:eastAsia="zh-CN"/>
        </w:rPr>
        <w:t>36</w:t>
      </w:r>
      <w:r>
        <w:rPr>
          <w:rFonts w:hint="eastAsia" w:ascii="Times New Roman Bold Italic" w:hAnsi="Times New Roman Bold Italic" w:cs="Times New Roman Bold Italic"/>
          <w:b/>
          <w:bCs/>
          <w:i/>
          <w:iCs/>
          <w:lang w:eastAsia="zh-CN"/>
        </w:rPr>
        <w:t>：6G UL-WUS faces scalability, interference, synchronization, and QoS differentiation challenges across diverse devices, frequency ranges, and energy-saving integration.</w:t>
      </w:r>
    </w:p>
    <w:p w14:paraId="0C57E76C">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37</w:t>
      </w:r>
      <w:r>
        <w:rPr>
          <w:rFonts w:hint="eastAsia" w:ascii="Times New Roman Bold Italic" w:hAnsi="Times New Roman Bold Italic" w:cs="Times New Roman Bold Italic"/>
          <w:b/>
          <w:bCs/>
          <w:i/>
          <w:iCs/>
          <w:lang w:eastAsia="zh-CN"/>
        </w:rPr>
        <w:t>：6G measurement for</w:t>
      </w:r>
      <w:r>
        <w:rPr>
          <w:rFonts w:ascii="Times New Roman Bold Italic" w:hAnsi="Times New Roman Bold Italic" w:cs="Times New Roman Bold Italic"/>
          <w:b/>
          <w:bCs/>
          <w:i/>
          <w:iCs/>
          <w:lang w:eastAsia="zh-CN"/>
        </w:rPr>
        <w:t xml:space="preserve"> energy efficiency</w:t>
      </w:r>
      <w:r>
        <w:rPr>
          <w:rFonts w:hint="eastAsia" w:ascii="Times New Roman Bold Italic" w:hAnsi="Times New Roman Bold Italic" w:cs="Times New Roman Bold Italic"/>
          <w:b/>
          <w:bCs/>
          <w:i/>
          <w:iCs/>
          <w:lang w:eastAsia="zh-CN"/>
        </w:rPr>
        <w:t xml:space="preserve"> faces excessive overhead, poor alignment with DRX/DTX, device capability mismatches, and integration conflicts with sensing and positioning.</w:t>
      </w:r>
    </w:p>
    <w:p w14:paraId="75B0B259">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38</w:t>
      </w:r>
      <w:r>
        <w:rPr>
          <w:rFonts w:ascii="Times New Roman Bold Italic" w:hAnsi="Times New Roman Bold Italic" w:cs="Times New Roman Bold Italic"/>
          <w:b/>
          <w:bCs/>
          <w:i/>
          <w:iCs/>
          <w:lang w:eastAsia="zh-CN"/>
        </w:rPr>
        <w:t>: For multi-carrier operation and single-cell multi-carrier deployment, scaling bandwidth on demand and eliminating duplicate common signals on each frequency band makes 6G systems more power-efficient.</w:t>
      </w:r>
    </w:p>
    <w:p w14:paraId="4F40BBDD">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39</w:t>
      </w:r>
      <w:r>
        <w:rPr>
          <w:rFonts w:ascii="Times New Roman Bold Italic" w:hAnsi="Times New Roman Bold Italic" w:cs="Times New Roman Bold Italic"/>
          <w:b/>
          <w:bCs/>
          <w:i/>
          <w:iCs/>
          <w:lang w:eastAsia="zh-CN"/>
        </w:rPr>
        <w:t>: Lower PAPR enables PAs to run closer to saturation, directly improving</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energy efficiency (bits/J), especially critical for battery-powered UEs and high-frequency BS transmitters.</w:t>
      </w:r>
    </w:p>
    <w:p w14:paraId="2194CFD1">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40</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E</w:t>
      </w:r>
      <w:r>
        <w:rPr>
          <w:rFonts w:ascii="Times New Roman Bold Italic" w:hAnsi="Times New Roman Bold Italic" w:cs="Times New Roman Bold Italic"/>
          <w:b/>
          <w:bCs/>
          <w:i/>
          <w:iCs/>
          <w:lang w:eastAsia="zh-CN"/>
        </w:rPr>
        <w:t>xpanded deep sleep for both BS and UE PAs, could have some benefits of reducing interference and extending device runtime.</w:t>
      </w:r>
    </w:p>
    <w:p w14:paraId="0C550EFA">
      <w:pPr>
        <w:rPr>
          <w:lang w:eastAsia="zh-CN"/>
        </w:rPr>
      </w:pPr>
      <w:r>
        <w:rPr>
          <w:rFonts w:hint="eastAsia"/>
          <w:b/>
          <w:bCs/>
          <w:i/>
          <w:iCs/>
          <w:lang w:eastAsia="zh-CN"/>
        </w:rPr>
        <w:t xml:space="preserve">Observation </w:t>
      </w:r>
      <w:r>
        <w:rPr>
          <w:rFonts w:hint="default"/>
          <w:b/>
          <w:bCs/>
          <w:i/>
          <w:iCs/>
          <w:lang w:val="en-US" w:eastAsia="zh-CN"/>
        </w:rPr>
        <w:t>41</w:t>
      </w:r>
      <w:r>
        <w:rPr>
          <w:rFonts w:hint="eastAsia"/>
          <w:b/>
          <w:bCs/>
          <w:i/>
          <w:iCs/>
          <w:lang w:eastAsia="zh-CN"/>
        </w:rPr>
        <w:t>：Adaptive emi</w:t>
      </w:r>
      <w:r>
        <w:rPr>
          <w:b/>
          <w:bCs/>
          <w:i/>
          <w:iCs/>
          <w:lang w:eastAsia="zh-CN"/>
        </w:rPr>
        <w:t xml:space="preserve">ssion masks and context-based EVM can allow more non-linearity and thus higher efficiency. Also, power classes may expand to cover </w:t>
      </w:r>
      <w:r>
        <w:rPr>
          <w:rFonts w:hint="eastAsia"/>
          <w:b/>
          <w:bCs/>
          <w:i/>
          <w:iCs/>
          <w:lang w:eastAsia="zh-CN"/>
        </w:rPr>
        <w:t>LPWA devices</w:t>
      </w:r>
      <w:r>
        <w:rPr>
          <w:b/>
          <w:bCs/>
          <w:i/>
          <w:iCs/>
          <w:lang w:eastAsia="zh-CN"/>
        </w:rPr>
        <w:t xml:space="preserve"> and high-power specialized UEs, with efficiency benchmarks.</w:t>
      </w:r>
    </w:p>
    <w:p w14:paraId="3DA5E8FA">
      <w:pPr>
        <w:rPr>
          <w:rFonts w:ascii="Times New Roman Bold Italic" w:hAnsi="Times New Roman Bold Italic" w:cs="Times New Roman Bold Italic"/>
          <w:b/>
          <w:bCs/>
          <w:i/>
          <w:iCs/>
          <w:szCs w:val="24"/>
          <w:highlight w:val="yellow"/>
          <w:u w:val="single"/>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42</w:t>
      </w:r>
      <w:r>
        <w:rPr>
          <w:rFonts w:ascii="Times New Roman Bold Italic" w:hAnsi="Times New Roman Bold Italic" w:cs="Times New Roman Bold Italic"/>
          <w:b/>
          <w:bCs/>
          <w:i/>
          <w:iCs/>
          <w:lang w:eastAsia="zh-CN"/>
        </w:rPr>
        <w:t>: Some physical air interface techniques such as SC-FDMA, constant-envelope modulation, low-complexity FEC, deep sleep frame design, and robust wake-up sequences is needed for reducing UE power consumption, improving PA efficiency, and enabling ultra-low-power operation across diverse 6G use cases.</w:t>
      </w:r>
    </w:p>
    <w:p w14:paraId="3CF5BE9A">
      <w:pPr>
        <w:rPr>
          <w:rFonts w:ascii="Times New Roman Bold Italic" w:hAnsi="Times New Roman Bold Italic" w:cs="Times New Roman Bold Italic"/>
          <w:b/>
          <w:bCs/>
          <w:i/>
          <w:iCs/>
          <w:szCs w:val="24"/>
          <w:highlight w:val="yellow"/>
          <w:u w:val="single"/>
          <w:lang w:eastAsia="zh-CN"/>
        </w:rPr>
      </w:pPr>
    </w:p>
    <w:p w14:paraId="3C56F61C">
      <w:pPr>
        <w:rPr>
          <w:rFonts w:ascii="Times New Roman Bold Italic" w:hAnsi="Times New Roman Bold Italic" w:cs="Times New Roman Bold Italic"/>
          <w:b/>
          <w:bCs/>
          <w:i/>
          <w:iCs/>
          <w:szCs w:val="24"/>
          <w:highlight w:val="yellow"/>
          <w:u w:val="single"/>
          <w:lang w:eastAsia="zh-CN"/>
        </w:rPr>
      </w:pPr>
    </w:p>
    <w:p w14:paraId="32939A1B">
      <w:pPr>
        <w:rPr>
          <w:rFonts w:hint="default" w:ascii="Times New Roman Bold Italic" w:hAnsi="Times New Roman Bold Italic" w:cs="Times New Roman Bold Italic"/>
          <w:b/>
          <w:bCs/>
          <w:i/>
          <w:iCs/>
          <w:lang w:val="en-GB"/>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12</w:t>
      </w:r>
      <w:r>
        <w:rPr>
          <w:rFonts w:hint="default"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GB"/>
        </w:rPr>
        <w:t>Study and evaluate on-demand synchronization bursts and system information transmission by event-driven or UE/BS triggered, which need</w:t>
      </w:r>
      <w:r>
        <w:rPr>
          <w:rFonts w:hint="default" w:ascii="Times New Roman Bold Italic" w:hAnsi="Times New Roman Bold Italic" w:cs="Times New Roman Bold Italic"/>
          <w:b/>
          <w:bCs/>
          <w:i/>
          <w:iCs/>
          <w:lang w:val="en-US" w:eastAsia="zh-CN"/>
        </w:rPr>
        <w:t>s</w:t>
      </w:r>
      <w:r>
        <w:rPr>
          <w:rFonts w:hint="default" w:ascii="Times New Roman Bold Italic" w:hAnsi="Times New Roman Bold Italic" w:cs="Times New Roman Bold Italic"/>
          <w:b/>
          <w:bCs/>
          <w:i/>
          <w:iCs/>
          <w:lang w:val="en-GB"/>
        </w:rPr>
        <w:t xml:space="preserve"> to minimize the negative impact of initial access.</w:t>
      </w:r>
    </w:p>
    <w:p w14:paraId="7428ADF1">
      <w:pPr>
        <w:rPr>
          <w:rFonts w:hint="default" w:ascii="Times New Roman Bold Italic" w:hAnsi="Times New Roman Bold Italic" w:cs="Times New Roman Bold Italic"/>
          <w:b/>
          <w:bCs/>
          <w:i/>
          <w:iCs/>
          <w:lang w:val="en-GB"/>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13</w:t>
      </w:r>
      <w:r>
        <w:rPr>
          <w:rFonts w:hint="default"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GB"/>
        </w:rPr>
        <w:t xml:space="preserve">Study </w:t>
      </w:r>
      <w:r>
        <w:rPr>
          <w:rFonts w:hint="default" w:ascii="Times New Roman Bold Italic" w:hAnsi="Times New Roman Bold Italic" w:cs="Times New Roman Bold Italic"/>
          <w:b/>
          <w:bCs/>
          <w:i/>
          <w:iCs/>
          <w:lang w:eastAsia="zh-CN"/>
        </w:rPr>
        <w:t>more efficient paging procedure considering multi-beams, multiple cells/multiple bands, DTX/DRX and grouping mechanism</w:t>
      </w:r>
      <w:r>
        <w:rPr>
          <w:rFonts w:hint="default" w:ascii="Times New Roman Bold Italic" w:hAnsi="Times New Roman Bold Italic" w:cs="Times New Roman Bold Italic"/>
          <w:b/>
          <w:bCs/>
          <w:i/>
          <w:iCs/>
          <w:lang w:val="en-GB"/>
        </w:rPr>
        <w:t>.</w:t>
      </w:r>
    </w:p>
    <w:p w14:paraId="2B0A5B15">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14</w:t>
      </w:r>
      <w:r>
        <w:rPr>
          <w:rFonts w:hint="default"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GB"/>
        </w:rPr>
        <w:t>Study</w:t>
      </w:r>
      <w:r>
        <w:rPr>
          <w:rFonts w:hint="default" w:ascii="Times New Roman Bold Italic" w:hAnsi="Times New Roman Bold Italic" w:cs="Times New Roman Bold Italic"/>
          <w:b/>
          <w:bCs/>
          <w:i/>
          <w:iCs/>
          <w:lang w:eastAsia="zh-CN"/>
        </w:rPr>
        <w:t xml:space="preserve"> more efficient and flexible Cell DTX/DRX mechanism considering joint with UE DRX mechanism, coordinate with both on demand UE-specific signals and on demand common signals</w:t>
      </w:r>
      <w:r>
        <w:rPr>
          <w:rFonts w:hint="default" w:ascii="Times New Roman Bold Italic" w:hAnsi="Times New Roman Bold Italic" w:cs="Times New Roman Bold Italic"/>
          <w:b/>
          <w:bCs/>
          <w:i/>
          <w:iCs/>
          <w:lang w:val="en-GB"/>
        </w:rPr>
        <w:t>.</w:t>
      </w:r>
    </w:p>
    <w:p w14:paraId="7CC38CD0">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15</w:t>
      </w:r>
      <w:r>
        <w:rPr>
          <w:rFonts w:ascii="Times New Roman Bold Italic" w:hAnsi="Times New Roman Bold Italic" w:cs="Times New Roman Bold Italic"/>
          <w:b/>
          <w:bCs/>
          <w:i/>
          <w:iCs/>
          <w:lang w:eastAsia="zh-CN"/>
        </w:rPr>
        <w:t>: 6G DRX at UE side should be state-specific, capability-aware, and seamlessly coordinated to save energy while ensuring QoS responsiveness.</w:t>
      </w:r>
    </w:p>
    <w:p w14:paraId="1B0B1A4B">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16</w:t>
      </w:r>
      <w:r>
        <w:rPr>
          <w:rFonts w:ascii="Times New Roman Bold Italic" w:hAnsi="Times New Roman Bold Italic" w:cs="Times New Roman Bold Italic"/>
          <w:b/>
          <w:bCs/>
          <w:i/>
          <w:iCs/>
          <w:lang w:eastAsia="zh-CN"/>
        </w:rPr>
        <w:t>: From RAN 2 perspective, D</w:t>
      </w:r>
      <w:r>
        <w:rPr>
          <w:rFonts w:ascii="Times New Roman Bold Italic" w:hAnsi="Times New Roman Bold Italic" w:eastAsia="等线" w:cs="Times New Roman Bold Italic"/>
          <w:b/>
          <w:bCs/>
          <w:i/>
          <w:iCs/>
          <w:szCs w:val="20"/>
          <w:lang w:eastAsia="zh-CN"/>
        </w:rPr>
        <w:t xml:space="preserve">RX/eDRX and PEI/LP-WUS mechanisms should be supported in a simplified manner to achieve both power saving and simplified protocol implementation. Thus, consider the impact of unified/simplified </w:t>
      </w:r>
      <w:r>
        <w:rPr>
          <w:rFonts w:ascii="Times New Roman Bold Italic" w:hAnsi="Times New Roman Bold Italic" w:cs="Times New Roman Bold Italic"/>
          <w:b/>
          <w:bCs/>
          <w:i/>
          <w:iCs/>
          <w:lang w:eastAsia="zh-CN"/>
        </w:rPr>
        <w:t>D</w:t>
      </w:r>
      <w:r>
        <w:rPr>
          <w:rFonts w:ascii="Times New Roman Bold Italic" w:hAnsi="Times New Roman Bold Italic" w:eastAsia="等线" w:cs="Times New Roman Bold Italic"/>
          <w:b/>
          <w:bCs/>
          <w:i/>
          <w:iCs/>
          <w:szCs w:val="20"/>
          <w:lang w:eastAsia="zh-CN"/>
        </w:rPr>
        <w:t>RX/eDRX and PEI/LP-WUS on RAN 1.</w:t>
      </w:r>
    </w:p>
    <w:p w14:paraId="1013C49C">
      <w:pPr>
        <w:rPr>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17</w:t>
      </w:r>
      <w:r>
        <w:rPr>
          <w:rFonts w:ascii="Times New Roman Bold Italic" w:hAnsi="Times New Roman Bold Italic" w:cs="Times New Roman Bold Italic"/>
          <w:b/>
          <w:bCs/>
          <w:i/>
          <w:iCs/>
          <w:lang w:eastAsia="zh-CN"/>
        </w:rPr>
        <w:t>: Discuss whether/how to consider low-power signal design (including LP-WUS/LP-SS</w:t>
      </w:r>
      <w:r>
        <w:rPr>
          <w:rFonts w:hint="eastAsia" w:ascii="Times New Roman Bold Italic" w:hAnsi="Times New Roman Bold Italic" w:cs="Times New Roman Bold Italic"/>
          <w:b/>
          <w:bCs/>
          <w:i/>
          <w:iCs/>
          <w:lang w:eastAsia="zh-CN"/>
        </w:rPr>
        <w:t>/UL-WUS</w:t>
      </w:r>
      <w:r>
        <w:rPr>
          <w:rFonts w:ascii="Times New Roman Bold Italic" w:hAnsi="Times New Roman Bold Italic" w:cs="Times New Roman Bold Italic"/>
          <w:b/>
          <w:bCs/>
          <w:i/>
          <w:iCs/>
          <w:lang w:eastAsia="zh-CN"/>
        </w:rPr>
        <w:t>) in 6G day 1 for 6G energy savings.</w:t>
      </w:r>
    </w:p>
    <w:p w14:paraId="198CD050">
      <w:pPr>
        <w:rPr>
          <w:lang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18</w:t>
      </w:r>
      <w:r>
        <w:rPr>
          <w:rFonts w:ascii="Times New Roman Bold Italic" w:hAnsi="Times New Roman Bold Italic" w:cs="Times New Roman Bold Italic"/>
          <w:b/>
          <w:bCs/>
          <w:i/>
          <w:iCs/>
          <w:lang w:eastAsia="zh-CN"/>
        </w:rPr>
        <w:t>: Consider scalable frequency-domain techniques to improve energy efficiency for both device and network, including efficient multi-carrier management, BWP adaptation, flexible scheduling.</w:t>
      </w:r>
    </w:p>
    <w:p w14:paraId="640298FE">
      <w:pPr>
        <w:rPr>
          <w:lang w:eastAsia="zh-CN"/>
        </w:rPr>
      </w:pPr>
      <w:r>
        <w:rPr>
          <w:b/>
          <w:bCs/>
          <w:i/>
          <w:iCs/>
          <w:lang w:eastAsia="zh-CN"/>
        </w:rPr>
        <w:t xml:space="preserve">Proposal </w:t>
      </w:r>
      <w:r>
        <w:rPr>
          <w:rFonts w:hint="default"/>
          <w:b/>
          <w:bCs/>
          <w:i/>
          <w:iCs/>
          <w:lang w:val="en-US" w:eastAsia="zh-CN"/>
        </w:rPr>
        <w:t>19</w:t>
      </w:r>
      <w:r>
        <w:rPr>
          <w:b/>
          <w:bCs/>
          <w:i/>
          <w:iCs/>
          <w:lang w:eastAsia="zh-CN"/>
        </w:rPr>
        <w:t>: Discuss potential power domain transmission technologies to improve sustainability in 6G day 1, at least including lower PAPR considerations, power control considerations, and expanded deep sleep for both BS and UE PAs, a</w:t>
      </w:r>
      <w:r>
        <w:rPr>
          <w:rFonts w:hint="eastAsia"/>
          <w:b/>
          <w:bCs/>
          <w:i/>
          <w:iCs/>
          <w:lang w:eastAsia="zh-CN"/>
        </w:rPr>
        <w:t>daptive emi</w:t>
      </w:r>
      <w:r>
        <w:rPr>
          <w:b/>
          <w:bCs/>
          <w:i/>
          <w:iCs/>
          <w:lang w:eastAsia="zh-CN"/>
        </w:rPr>
        <w:t>ssion masks and context-based EVM in RAN 1.</w:t>
      </w:r>
    </w:p>
    <w:p w14:paraId="061FF885">
      <w:pPr>
        <w:rPr>
          <w:rFonts w:hint="default" w:ascii="Times New Roman Bold Italic" w:hAnsi="Times New Roman Bold Italic" w:cs="Times New Roman Bold Italic"/>
          <w:b/>
          <w:bCs/>
          <w:i/>
          <w:iCs/>
          <w:lang w:val="en-GB"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20</w:t>
      </w:r>
      <w:r>
        <w:rPr>
          <w:rFonts w:ascii="Times New Roman Bold Italic" w:hAnsi="Times New Roman Bold Italic" w:cs="Times New Roman Bold Italic"/>
          <w:b/>
          <w:bCs/>
          <w:i/>
          <w:iCs/>
          <w:lang w:eastAsia="zh-CN"/>
        </w:rPr>
        <w:t xml:space="preserve">: Discussion on </w:t>
      </w:r>
      <w:r>
        <w:rPr>
          <w:rFonts w:hint="eastAsia" w:ascii="Times New Roman Bold Italic" w:hAnsi="Times New Roman Bold Italic" w:cs="Times New Roman Bold Italic"/>
          <w:b/>
          <w:bCs/>
          <w:i/>
          <w:iCs/>
          <w:lang w:eastAsia="zh-CN"/>
        </w:rPr>
        <w:t>how</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to</w:t>
      </w:r>
      <w:r>
        <w:rPr>
          <w:rFonts w:ascii="Times New Roman Bold Italic" w:hAnsi="Times New Roman Bold Italic" w:cs="Times New Roman Bold Italic"/>
          <w:b/>
          <w:bCs/>
          <w:i/>
          <w:iCs/>
          <w:lang w:eastAsia="zh-CN"/>
        </w:rPr>
        <w:t xml:space="preserve"> include</w:t>
      </w:r>
      <w:r>
        <w:rPr>
          <w:rFonts w:hint="eastAsia" w:ascii="Times New Roman Bold Italic" w:hAnsi="Times New Roman Bold Italic" w:cs="Times New Roman Bold Italic"/>
          <w:b/>
          <w:bCs/>
          <w:i/>
          <w:iCs/>
          <w:lang w:eastAsia="zh-CN"/>
        </w:rPr>
        <w:t xml:space="preserve"> the</w:t>
      </w:r>
      <w:r>
        <w:rPr>
          <w:rFonts w:ascii="Times New Roman Bold Italic" w:hAnsi="Times New Roman Bold Italic" w:cs="Times New Roman Bold Italic"/>
          <w:b/>
          <w:bCs/>
          <w:i/>
          <w:iCs/>
          <w:lang w:eastAsia="zh-CN"/>
        </w:rPr>
        <w:t xml:space="preserve"> impact of physical air interface design (e.g., waveform, coding, frame structure, sequence design, etc.) in 6G energy efficiency from day 1. </w:t>
      </w:r>
    </w:p>
    <w:p w14:paraId="60DFCBC1">
      <w:pPr>
        <w:pStyle w:val="5"/>
        <w:rPr>
          <w:rFonts w:ascii="Times New Roman Bold Italic" w:hAnsi="Times New Roman Bold Italic" w:cs="Times New Roman Bold Italic"/>
          <w:b/>
          <w:bCs/>
          <w:i/>
          <w:iCs/>
          <w:lang w:eastAsia="zh-CN"/>
        </w:rPr>
      </w:pPr>
    </w:p>
    <w:p w14:paraId="19660F57">
      <w:pPr>
        <w:rPr>
          <w:iCs/>
          <w:lang w:eastAsia="zh-CN"/>
        </w:rPr>
      </w:pPr>
    </w:p>
    <w:p w14:paraId="4C6C2019">
      <w:pPr>
        <w:pStyle w:val="2"/>
        <w:numPr>
          <w:ilvl w:val="0"/>
          <w:numId w:val="0"/>
        </w:numPr>
        <w:ind w:left="432" w:hanging="432"/>
      </w:pPr>
      <w:bookmarkStart w:id="9" w:name="_Ref124671424"/>
      <w:bookmarkStart w:id="10" w:name="_Ref71620620"/>
      <w:bookmarkStart w:id="11" w:name="_Ref124589665"/>
      <w:r>
        <w:t>References</w:t>
      </w:r>
    </w:p>
    <w:bookmarkEnd w:id="9"/>
    <w:bookmarkEnd w:id="10"/>
    <w:bookmarkEnd w:id="11"/>
    <w:p w14:paraId="6B184462">
      <w:pPr>
        <w:pStyle w:val="38"/>
        <w:tabs>
          <w:tab w:val="left" w:pos="1778"/>
        </w:tabs>
      </w:pPr>
      <w:bookmarkStart w:id="12" w:name="_Ref162960118"/>
      <w:r>
        <w:t xml:space="preserve">RP-251881, </w:t>
      </w:r>
      <w:r>
        <w:rPr>
          <w:rFonts w:hint="eastAsia"/>
        </w:rPr>
        <w:t>“</w:t>
      </w:r>
      <w:r>
        <w:rPr>
          <w:rFonts w:hint="eastAsia"/>
          <w:lang w:eastAsia="zh-CN"/>
        </w:rPr>
        <w:t>New SID: Study on 6G Radio</w:t>
      </w:r>
      <w:r>
        <w:rPr>
          <w:rFonts w:hint="eastAsia"/>
        </w:rPr>
        <w:t>”</w:t>
      </w:r>
      <w:bookmarkEnd w:id="12"/>
    </w:p>
    <w:p w14:paraId="08E46689">
      <w:pPr>
        <w:pStyle w:val="38"/>
        <w:tabs>
          <w:tab w:val="left" w:pos="1778"/>
        </w:tabs>
      </w:pPr>
      <w:r>
        <w:t>Chair notes RAN 1 #122.</w:t>
      </w:r>
    </w:p>
    <w:p w14:paraId="199B0AE6">
      <w:pPr>
        <w:pStyle w:val="38"/>
        <w:tabs>
          <w:tab w:val="left" w:pos="1778"/>
        </w:tabs>
      </w:pPr>
      <w:r>
        <w:t xml:space="preserve">R1-2506602, </w:t>
      </w:r>
      <w:r>
        <w:rPr>
          <w:rFonts w:hint="eastAsia"/>
        </w:rPr>
        <w:t>Final Summary of 6GR Energy Efficiency Study</w:t>
      </w:r>
      <w:r>
        <w:t>, RAN 1#122, India.</w:t>
      </w:r>
    </w:p>
    <w:p w14:paraId="6A53AF4E">
      <w:pPr>
        <w:pStyle w:val="38"/>
        <w:tabs>
          <w:tab w:val="left" w:pos="1778"/>
        </w:tabs>
      </w:pPr>
      <w:r>
        <w:rPr>
          <w:rFonts w:hint="eastAsia"/>
        </w:rPr>
        <w:t>3GPP TR 38.864, “Study on Network Energy Savings for NR,” Release 18</w:t>
      </w:r>
    </w:p>
    <w:p w14:paraId="08C95125">
      <w:pPr>
        <w:pStyle w:val="38"/>
        <w:tabs>
          <w:tab w:val="left" w:pos="1778"/>
        </w:tabs>
      </w:pPr>
      <w:r>
        <w:rPr>
          <w:rFonts w:hint="eastAsia"/>
        </w:rPr>
        <w:t>Reducing energy use with 5G-Advanced</w:t>
      </w:r>
      <w:r>
        <w:t xml:space="preserve">, </w:t>
      </w:r>
      <w:r>
        <w:fldChar w:fldCharType="begin"/>
      </w:r>
      <w:r>
        <w:instrText xml:space="preserve"> HYPERLINK "https://www.nokia.com/asset/f/213599/" \h </w:instrText>
      </w:r>
      <w:r>
        <w:fldChar w:fldCharType="separate"/>
      </w:r>
      <w:r>
        <w:rPr>
          <w:rFonts w:hint="eastAsia"/>
        </w:rPr>
        <w:t>https://www.nokia.com/asset/f/213599/</w:t>
      </w:r>
      <w:r>
        <w:rPr>
          <w:rFonts w:hint="eastAsia"/>
        </w:rPr>
        <w:fldChar w:fldCharType="end"/>
      </w:r>
    </w:p>
    <w:p w14:paraId="02755F33">
      <w:pPr>
        <w:pStyle w:val="38"/>
        <w:tabs>
          <w:tab w:val="left" w:pos="1778"/>
        </w:tabs>
      </w:pPr>
      <w:r>
        <w:rPr>
          <w:rFonts w:hint="eastAsia"/>
        </w:rPr>
        <w:t>3GPP TR 38.840, “Study on User Equipment (UE) Power Saving in NR,” Release 16.</w:t>
      </w:r>
    </w:p>
    <w:p w14:paraId="65C88EFF">
      <w:pPr>
        <w:pStyle w:val="38"/>
        <w:tabs>
          <w:tab w:val="left" w:pos="1778"/>
        </w:tabs>
      </w:pPr>
      <w:r>
        <w:rPr>
          <w:rFonts w:hint="eastAsia"/>
        </w:rPr>
        <w:t>3GPP TR 38.8</w:t>
      </w:r>
      <w:r>
        <w:t>75</w:t>
      </w:r>
      <w:r>
        <w:rPr>
          <w:rFonts w:hint="eastAsia"/>
        </w:rPr>
        <w:t>, “Study on support of reduced capability NR devices,” Release 1</w:t>
      </w:r>
      <w:r>
        <w:t>7</w:t>
      </w:r>
      <w:r>
        <w:rPr>
          <w:rFonts w:hint="eastAsia"/>
        </w:rPr>
        <w:t>.</w:t>
      </w:r>
    </w:p>
    <w:p w14:paraId="5FA5D693">
      <w:pPr>
        <w:pStyle w:val="38"/>
        <w:tabs>
          <w:tab w:val="left" w:pos="1778"/>
        </w:tabs>
      </w:pPr>
      <w:r>
        <w:rPr>
          <w:rFonts w:hint="eastAsia"/>
        </w:rPr>
        <w:t>3GPP TR 38.8</w:t>
      </w:r>
      <w:r>
        <w:t>69</w:t>
      </w:r>
      <w:r>
        <w:rPr>
          <w:rFonts w:hint="eastAsia"/>
        </w:rPr>
        <w:t>, “Study on low-power Wake-up Signal and Receiver for NR,” Release 1</w:t>
      </w:r>
      <w:r>
        <w:t>8</w:t>
      </w:r>
      <w:r>
        <w:rPr>
          <w:rFonts w:hint="eastAsia"/>
        </w:rPr>
        <w:t>.</w:t>
      </w:r>
    </w:p>
    <w:p w14:paraId="46858644">
      <w:pPr>
        <w:pStyle w:val="38"/>
        <w:tabs>
          <w:tab w:val="left" w:pos="1778"/>
        </w:tabs>
      </w:pPr>
      <w:r>
        <w:rPr>
          <w:rFonts w:hint="eastAsia"/>
        </w:rPr>
        <w:t>3GPP TR 38.840 Study On UE NR Power Saving Features | PDF | Nokia | Voice Over Ip</w:t>
      </w:r>
    </w:p>
    <w:p w14:paraId="217EBF95">
      <w:pPr>
        <w:pStyle w:val="5"/>
      </w:pPr>
      <w:r>
        <w:fldChar w:fldCharType="begin"/>
      </w:r>
      <w:r>
        <w:instrText xml:space="preserve"> HYPERLINK "https://www.scribd.com/document/857701488/3GPP-TR-38-840-Study-on-UE-NR-Power-Saving-Features" \h </w:instrText>
      </w:r>
      <w:r>
        <w:fldChar w:fldCharType="separate"/>
      </w:r>
      <w:r>
        <w:rPr>
          <w:rStyle w:val="32"/>
        </w:rPr>
        <w:t>https://www.scribd.com/document/857701488/3GPP-TR-38-840-Study-on-UE-NR-Power-Saving-Features</w:t>
      </w:r>
      <w:r>
        <w:rPr>
          <w:rStyle w:val="32"/>
        </w:rPr>
        <w:fldChar w:fldCharType="end"/>
      </w:r>
    </w:p>
    <w:p w14:paraId="6198E00E">
      <w:pPr>
        <w:pStyle w:val="38"/>
        <w:tabs>
          <w:tab w:val="left" w:pos="1778"/>
        </w:tabs>
      </w:pPr>
      <w:r>
        <w:t xml:space="preserve"> </w:t>
      </w:r>
      <w:r>
        <w:rPr>
          <w:rFonts w:hint="eastAsia"/>
        </w:rPr>
        <w:t>RedCap: Expanding the 5G device ecosystem - Ericsson</w:t>
      </w:r>
    </w:p>
    <w:p w14:paraId="27FDF6F1">
      <w:pPr>
        <w:pStyle w:val="5"/>
      </w:pPr>
      <w:r>
        <w:fldChar w:fldCharType="begin"/>
      </w:r>
      <w:r>
        <w:instrText xml:space="preserve"> HYPERLINK "https://www.ericsson.com/en/reports-and-papers/white-papers/redcap-expanding-the-5g-device-ecosystem-for-consumers-and-industries" \h </w:instrText>
      </w:r>
      <w:r>
        <w:fldChar w:fldCharType="separate"/>
      </w:r>
      <w:r>
        <w:rPr>
          <w:rStyle w:val="32"/>
        </w:rPr>
        <w:t>https://www.ericsson.com/en/reports-and-papers/white-papers/redcap-expanding-the-5g-device-ecosystem-for-consumers-and-industries</w:t>
      </w:r>
      <w:r>
        <w:rPr>
          <w:rStyle w:val="32"/>
        </w:rPr>
        <w:fldChar w:fldCharType="end"/>
      </w:r>
    </w:p>
    <w:p w14:paraId="5C53E2A9">
      <w:pPr>
        <w:pStyle w:val="38"/>
        <w:tabs>
          <w:tab w:val="left" w:pos="1778"/>
        </w:tabs>
      </w:pPr>
      <w:r>
        <w:t xml:space="preserve"> </w:t>
      </w:r>
      <w:r>
        <w:rPr>
          <w:rFonts w:hint="eastAsia"/>
        </w:rPr>
        <w:t>IMT Vision – Framework and overall objectives of the future development of IMT for 2020 and beyond</w:t>
      </w:r>
    </w:p>
    <w:p w14:paraId="29ECE6EC">
      <w:pPr>
        <w:pStyle w:val="38"/>
        <w:numPr>
          <w:ilvl w:val="0"/>
          <w:numId w:val="0"/>
        </w:numPr>
        <w:tabs>
          <w:tab w:val="left" w:pos="1778"/>
          <w:tab w:val="clear" w:pos="360"/>
        </w:tabs>
      </w:pPr>
      <w:r>
        <w:fldChar w:fldCharType="begin"/>
      </w:r>
      <w:r>
        <w:instrText xml:space="preserve"> HYPERLINK "https://www.itu.int/dms_pubrec/itu-r/rec/m/r-rec-m.2083-0-201509-i!!pdf-e.pdf" </w:instrText>
      </w:r>
      <w:r>
        <w:fldChar w:fldCharType="separate"/>
      </w:r>
      <w:r>
        <w:rPr>
          <w:rStyle w:val="32"/>
          <w:rFonts w:hint="eastAsia"/>
        </w:rPr>
        <w:t>https://www.itu.int/dms_pubrec/itu-r/rec/m/r-rec-m.2083-0-201509-i!!pdf-e.pdf</w:t>
      </w:r>
      <w:r>
        <w:rPr>
          <w:rStyle w:val="32"/>
          <w:rFonts w:hint="eastAsia"/>
        </w:rPr>
        <w:fldChar w:fldCharType="end"/>
      </w:r>
    </w:p>
    <w:p w14:paraId="3EBC7DE6">
      <w:pPr>
        <w:pStyle w:val="38"/>
        <w:tabs>
          <w:tab w:val="left" w:pos="1778"/>
        </w:tabs>
      </w:pPr>
      <w:r>
        <w:t xml:space="preserve">IMT towards 2030 and beyond (IMT-2030) </w:t>
      </w:r>
    </w:p>
    <w:p w14:paraId="1148FAE3">
      <w:pPr>
        <w:pStyle w:val="38"/>
        <w:tabs>
          <w:tab w:val="left" w:pos="1778"/>
        </w:tabs>
      </w:pPr>
      <w:r>
        <w:rPr>
          <w:rFonts w:hint="eastAsia"/>
        </w:rPr>
        <w:t>3GPP TR 32.972, “Study on system and functional aspects of energy efficiency in 5G networks,” Release 15.</w:t>
      </w:r>
    </w:p>
    <w:p w14:paraId="1B7625E6">
      <w:pPr>
        <w:pStyle w:val="38"/>
        <w:numPr>
          <w:ilvl w:val="0"/>
          <w:numId w:val="0"/>
        </w:numPr>
        <w:tabs>
          <w:tab w:val="left" w:pos="1778"/>
          <w:tab w:val="clear" w:pos="360"/>
        </w:tabs>
      </w:pPr>
    </w:p>
    <w:sectPr>
      <w:footerReference r:id="rId4" w:type="default"/>
      <w:type w:val="continuous"/>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S Gothic">
    <w:altName w:val="冬青黑体简体中文"/>
    <w:panose1 w:val="020B06090702050802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Times New Roman Regular">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roman"/>
    <w:pitch w:val="default"/>
    <w:sig w:usb0="E0000AFF" w:usb1="00007843" w:usb2="00000001" w:usb3="00000000" w:csb0="400001BF" w:csb1="DFF70000"/>
  </w:font>
  <w:font w:name="Cambria Math">
    <w:altName w:val="Kingsoft Math"/>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 w:name="Kingsoft Math">
    <w:panose1 w:val="02040503050406030204"/>
    <w:charset w:val="00"/>
    <w:family w:val="auto"/>
    <w:pitch w:val="default"/>
    <w:sig w:usb0="80000087" w:usb1="00002068" w:usb2="00000000" w:usb3="00000000" w:csb0="2000019F" w:csb1="00000000"/>
  </w:font>
  <w:font w:name="PingFang SC">
    <w:panose1 w:val="020B0400000000000000"/>
    <w:charset w:val="86"/>
    <w:family w:val="auto"/>
    <w:pitch w:val="default"/>
    <w:sig w:usb0="A00002FF" w:usb1="7ACFFDFB" w:usb2="00000017"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2654015B">
        <w:pPr>
          <w:pStyle w:val="21"/>
          <w:jc w:val="center"/>
        </w:pPr>
        <w:r>
          <w:fldChar w:fldCharType="begin"/>
        </w:r>
        <w:r>
          <w:instrText xml:space="preserve"> PAGE   \* MERGEFORMAT </w:instrText>
        </w:r>
        <w:r>
          <w:fldChar w:fldCharType="separate"/>
        </w:r>
        <w:r>
          <w:t>1</w:t>
        </w:r>
        <w:r>
          <w:fldChar w:fldCharType="end"/>
        </w:r>
      </w:p>
    </w:sdtContent>
  </w:sdt>
  <w:p w14:paraId="7FC4B9C0">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F378CF"/>
    <w:multiLevelType w:val="singleLevel"/>
    <w:tmpl w:val="D0F378CF"/>
    <w:lvl w:ilvl="0" w:tentative="0">
      <w:start w:val="1"/>
      <w:numFmt w:val="bullet"/>
      <w:lvlText w:val=""/>
      <w:lvlJc w:val="left"/>
      <w:pPr>
        <w:ind w:left="420" w:hanging="420"/>
      </w:pPr>
      <w:rPr>
        <w:rFonts w:hint="default" w:ascii="Wingdings" w:hAnsi="Wingdings"/>
      </w:rPr>
    </w:lvl>
  </w:abstractNum>
  <w:abstractNum w:abstractNumId="1">
    <w:nsid w:val="D7B86641"/>
    <w:multiLevelType w:val="singleLevel"/>
    <w:tmpl w:val="D7B86641"/>
    <w:lvl w:ilvl="0" w:tentative="0">
      <w:start w:val="1"/>
      <w:numFmt w:val="lowerLetter"/>
      <w:suff w:val="space"/>
      <w:lvlText w:val="(%1)"/>
      <w:lvlJc w:val="left"/>
    </w:lvl>
  </w:abstractNum>
  <w:abstractNum w:abstractNumId="2">
    <w:nsid w:val="DB18ADD0"/>
    <w:multiLevelType w:val="singleLevel"/>
    <w:tmpl w:val="DB18ADD0"/>
    <w:lvl w:ilvl="0" w:tentative="0">
      <w:start w:val="1"/>
      <w:numFmt w:val="bullet"/>
      <w:lvlText w:val=""/>
      <w:lvlJc w:val="left"/>
      <w:pPr>
        <w:ind w:left="420" w:hanging="420"/>
      </w:pPr>
      <w:rPr>
        <w:rFonts w:hint="default" w:ascii="Wingdings" w:hAnsi="Wingdings"/>
      </w:rPr>
    </w:lvl>
  </w:abstractNum>
  <w:abstractNum w:abstractNumId="3">
    <w:nsid w:val="DCFE9C7F"/>
    <w:multiLevelType w:val="multilevel"/>
    <w:tmpl w:val="DCFE9C7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4">
    <w:nsid w:val="DFEAF459"/>
    <w:multiLevelType w:val="singleLevel"/>
    <w:tmpl w:val="DFEAF459"/>
    <w:lvl w:ilvl="0" w:tentative="0">
      <w:start w:val="1"/>
      <w:numFmt w:val="bullet"/>
      <w:lvlText w:val=""/>
      <w:lvlJc w:val="left"/>
      <w:pPr>
        <w:ind w:left="420" w:hanging="420"/>
      </w:pPr>
      <w:rPr>
        <w:rFonts w:hint="default" w:ascii="Wingdings" w:hAnsi="Wingdings"/>
      </w:rPr>
    </w:lvl>
  </w:abstractNum>
  <w:abstractNum w:abstractNumId="5">
    <w:nsid w:val="DFF2CAB2"/>
    <w:multiLevelType w:val="singleLevel"/>
    <w:tmpl w:val="DFF2CAB2"/>
    <w:lvl w:ilvl="0" w:tentative="0">
      <w:start w:val="1"/>
      <w:numFmt w:val="bullet"/>
      <w:lvlText w:val=""/>
      <w:lvlJc w:val="left"/>
      <w:pPr>
        <w:ind w:left="420" w:hanging="420"/>
      </w:pPr>
      <w:rPr>
        <w:rFonts w:hint="default" w:ascii="Wingdings" w:hAnsi="Wingdings"/>
      </w:rPr>
    </w:lvl>
  </w:abstractNum>
  <w:abstractNum w:abstractNumId="6">
    <w:nsid w:val="E8C1B9DD"/>
    <w:multiLevelType w:val="singleLevel"/>
    <w:tmpl w:val="E8C1B9DD"/>
    <w:lvl w:ilvl="0" w:tentative="0">
      <w:start w:val="1"/>
      <w:numFmt w:val="bullet"/>
      <w:lvlText w:val=""/>
      <w:lvlJc w:val="left"/>
      <w:pPr>
        <w:ind w:left="420" w:hanging="420"/>
      </w:pPr>
      <w:rPr>
        <w:rFonts w:hint="default" w:ascii="Wingdings" w:hAnsi="Wingdings"/>
      </w:rPr>
    </w:lvl>
  </w:abstractNum>
  <w:abstractNum w:abstractNumId="7">
    <w:nsid w:val="EC769D3F"/>
    <w:multiLevelType w:val="singleLevel"/>
    <w:tmpl w:val="EC769D3F"/>
    <w:lvl w:ilvl="0" w:tentative="0">
      <w:start w:val="1"/>
      <w:numFmt w:val="bullet"/>
      <w:lvlText w:val=""/>
      <w:lvlJc w:val="left"/>
      <w:pPr>
        <w:ind w:left="420" w:hanging="420"/>
      </w:pPr>
      <w:rPr>
        <w:rFonts w:hint="default" w:ascii="Wingdings" w:hAnsi="Wingdings"/>
      </w:rPr>
    </w:lvl>
  </w:abstractNum>
  <w:abstractNum w:abstractNumId="8">
    <w:nsid w:val="F7FCFE87"/>
    <w:multiLevelType w:val="singleLevel"/>
    <w:tmpl w:val="F7FCFE87"/>
    <w:lvl w:ilvl="0" w:tentative="0">
      <w:start w:val="1"/>
      <w:numFmt w:val="bullet"/>
      <w:lvlText w:val=""/>
      <w:lvlJc w:val="left"/>
      <w:pPr>
        <w:ind w:left="420" w:hanging="420"/>
      </w:pPr>
      <w:rPr>
        <w:rFonts w:hint="default" w:ascii="Wingdings" w:hAnsi="Wingdings"/>
      </w:rPr>
    </w:lvl>
  </w:abstractNum>
  <w:abstractNum w:abstractNumId="9">
    <w:nsid w:val="FBFEC7AC"/>
    <w:multiLevelType w:val="singleLevel"/>
    <w:tmpl w:val="FBFEC7AC"/>
    <w:lvl w:ilvl="0" w:tentative="0">
      <w:start w:val="1"/>
      <w:numFmt w:val="bullet"/>
      <w:lvlText w:val=""/>
      <w:lvlJc w:val="left"/>
      <w:pPr>
        <w:ind w:left="420" w:hanging="420"/>
      </w:pPr>
      <w:rPr>
        <w:rFonts w:hint="default" w:ascii="Wingdings" w:hAnsi="Wingdings"/>
      </w:rPr>
    </w:lvl>
  </w:abstractNum>
  <w:abstractNum w:abstractNumId="10">
    <w:nsid w:val="FEAABC69"/>
    <w:multiLevelType w:val="singleLevel"/>
    <w:tmpl w:val="FEAABC69"/>
    <w:lvl w:ilvl="0" w:tentative="0">
      <w:start w:val="1"/>
      <w:numFmt w:val="bullet"/>
      <w:lvlText w:val=""/>
      <w:lvlJc w:val="left"/>
      <w:pPr>
        <w:tabs>
          <w:tab w:val="left" w:pos="420"/>
        </w:tabs>
        <w:ind w:left="840" w:hanging="420"/>
      </w:pPr>
      <w:rPr>
        <w:rFonts w:hint="default" w:ascii="Wingdings" w:hAnsi="Wingdings"/>
      </w:rPr>
    </w:lvl>
  </w:abstractNum>
  <w:abstractNum w:abstractNumId="11">
    <w:nsid w:val="FEFCB71C"/>
    <w:multiLevelType w:val="singleLevel"/>
    <w:tmpl w:val="FEFCB71C"/>
    <w:lvl w:ilvl="0" w:tentative="0">
      <w:start w:val="1"/>
      <w:numFmt w:val="bullet"/>
      <w:lvlText w:val=""/>
      <w:lvlJc w:val="left"/>
      <w:pPr>
        <w:ind w:left="420" w:hanging="420"/>
      </w:pPr>
      <w:rPr>
        <w:rFonts w:hint="default" w:ascii="Wingdings" w:hAnsi="Wingdings"/>
      </w:rPr>
    </w:lvl>
  </w:abstractNum>
  <w:abstractNum w:abstractNumId="12">
    <w:nsid w:val="FFDDFF36"/>
    <w:multiLevelType w:val="singleLevel"/>
    <w:tmpl w:val="FFDDFF36"/>
    <w:lvl w:ilvl="0" w:tentative="0">
      <w:start w:val="1"/>
      <w:numFmt w:val="bullet"/>
      <w:lvlText w:val=""/>
      <w:lvlJc w:val="left"/>
      <w:pPr>
        <w:ind w:left="420" w:hanging="420"/>
      </w:pPr>
      <w:rPr>
        <w:rFonts w:hint="default" w:ascii="Wingdings" w:hAnsi="Wingdings"/>
      </w:rPr>
    </w:lvl>
  </w:abstractNum>
  <w:abstractNum w:abstractNumId="13">
    <w:nsid w:val="FFEBBE0E"/>
    <w:multiLevelType w:val="multilevel"/>
    <w:tmpl w:val="FFEBBE0E"/>
    <w:lvl w:ilvl="0" w:tentative="0">
      <w:start w:val="1"/>
      <w:numFmt w:val="lowerLetter"/>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4">
    <w:nsid w:val="FFFFFF82"/>
    <w:multiLevelType w:val="singleLevel"/>
    <w:tmpl w:val="FFFFFF82"/>
    <w:lvl w:ilvl="0" w:tentative="0">
      <w:start w:val="1"/>
      <w:numFmt w:val="bullet"/>
      <w:pStyle w:val="17"/>
      <w:lvlText w:val=""/>
      <w:lvlJc w:val="left"/>
      <w:pPr>
        <w:tabs>
          <w:tab w:val="left" w:pos="1800"/>
        </w:tabs>
        <w:ind w:left="1800" w:hanging="720"/>
      </w:pPr>
      <w:rPr>
        <w:rFonts w:hint="default" w:ascii="Symbol" w:hAnsi="Symbol"/>
      </w:rPr>
    </w:lvl>
  </w:abstractNum>
  <w:abstractNum w:abstractNumId="15">
    <w:nsid w:val="FFFFFF83"/>
    <w:multiLevelType w:val="singleLevel"/>
    <w:tmpl w:val="FFFFFF83"/>
    <w:lvl w:ilvl="0" w:tentative="0">
      <w:start w:val="1"/>
      <w:numFmt w:val="bullet"/>
      <w:pStyle w:val="19"/>
      <w:lvlText w:val=""/>
      <w:lvlJc w:val="left"/>
      <w:pPr>
        <w:tabs>
          <w:tab w:val="left" w:pos="1440"/>
        </w:tabs>
        <w:ind w:left="1440" w:hanging="720"/>
      </w:pPr>
      <w:rPr>
        <w:rFonts w:hint="default" w:ascii="Symbol" w:hAnsi="Symbol"/>
      </w:rPr>
    </w:lvl>
  </w:abstractNum>
  <w:abstractNum w:abstractNumId="16">
    <w:nsid w:val="FFFFFFFE"/>
    <w:multiLevelType w:val="singleLevel"/>
    <w:tmpl w:val="FFFFFFFE"/>
    <w:lvl w:ilvl="0" w:tentative="0">
      <w:start w:val="0"/>
      <w:numFmt w:val="decimal"/>
      <w:lvlText w:val="*"/>
      <w:lvlJc w:val="left"/>
    </w:lvl>
  </w:abstractNum>
  <w:abstractNum w:abstractNumId="17">
    <w:nsid w:val="0000A991"/>
    <w:multiLevelType w:val="multilevel"/>
    <w:tmpl w:val="0000A991"/>
    <w:lvl w:ilvl="0" w:tentative="0">
      <w:start w:val="0"/>
      <w:numFmt w:val="bullet"/>
      <w:lvlText w:val=""/>
      <w:lvlJc w:val="left"/>
      <w:pPr>
        <w:ind w:left="720" w:hanging="360"/>
      </w:pPr>
      <w:rPr>
        <w:rFonts w:hint="default" w:ascii="Symbol" w:hAnsi="Symbol" w:cs="Symbol"/>
      </w:rPr>
    </w:lvl>
    <w:lvl w:ilvl="1" w:tentative="0">
      <w:start w:val="0"/>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default" w:ascii="Wingdings" w:hAnsi="Wingdings" w:cs="Wingdings"/>
      </w:rPr>
    </w:lvl>
    <w:lvl w:ilvl="3" w:tentative="0">
      <w:start w:val="0"/>
      <w:numFmt w:val="bullet"/>
      <w:lvlText w:val=""/>
      <w:lvlJc w:val="left"/>
      <w:pPr>
        <w:ind w:left="2880" w:hanging="360"/>
      </w:pPr>
      <w:rPr>
        <w:rFonts w:hint="default" w:ascii="Symbol" w:hAnsi="Symbol" w:cs="Symbol"/>
      </w:rPr>
    </w:lvl>
    <w:lvl w:ilvl="4" w:tentative="0">
      <w:start w:val="0"/>
      <w:numFmt w:val="bullet"/>
      <w:lvlText w:val="o"/>
      <w:lvlJc w:val="left"/>
      <w:pPr>
        <w:ind w:left="3600" w:hanging="360"/>
      </w:pPr>
      <w:rPr>
        <w:rFonts w:hint="default" w:ascii="Courier New" w:hAnsi="Courier New" w:cs="Courier New"/>
      </w:rPr>
    </w:lvl>
    <w:lvl w:ilvl="5" w:tentative="0">
      <w:start w:val="0"/>
      <w:numFmt w:val="bullet"/>
      <w:lvlText w:val=""/>
      <w:lvlJc w:val="left"/>
      <w:pPr>
        <w:ind w:left="4320" w:hanging="360"/>
      </w:pPr>
      <w:rPr>
        <w:rFonts w:hint="default" w:ascii="Wingdings" w:hAnsi="Wingdings" w:cs="Wingdings"/>
      </w:rPr>
    </w:lvl>
    <w:lvl w:ilvl="6" w:tentative="0">
      <w:start w:val="0"/>
      <w:numFmt w:val="bullet"/>
      <w:lvlText w:val=""/>
      <w:lvlJc w:val="left"/>
      <w:pPr>
        <w:ind w:left="5040" w:hanging="360"/>
      </w:pPr>
      <w:rPr>
        <w:rFonts w:hint="default" w:ascii="Symbol" w:hAnsi="Symbol" w:cs="Symbol"/>
      </w:rPr>
    </w:lvl>
    <w:lvl w:ilvl="7" w:tentative="0">
      <w:start w:val="0"/>
      <w:numFmt w:val="bullet"/>
      <w:lvlText w:val="o"/>
      <w:lvlJc w:val="left"/>
      <w:pPr>
        <w:ind w:left="5760" w:hanging="360"/>
      </w:pPr>
      <w:rPr>
        <w:rFonts w:hint="default" w:ascii="Courier New" w:hAnsi="Courier New" w:cs="Courier New"/>
      </w:rPr>
    </w:lvl>
    <w:lvl w:ilvl="8" w:tentative="0">
      <w:start w:val="0"/>
      <w:numFmt w:val="bullet"/>
      <w:lvlText w:val=""/>
      <w:lvlJc w:val="left"/>
      <w:pPr>
        <w:ind w:left="6480" w:hanging="360"/>
      </w:pPr>
      <w:rPr>
        <w:rFonts w:hint="default" w:ascii="Wingdings" w:hAnsi="Wingdings" w:cs="Wingdings"/>
      </w:rPr>
    </w:lvl>
  </w:abstractNum>
  <w:abstractNum w:abstractNumId="18">
    <w:nsid w:val="2D0D053D"/>
    <w:multiLevelType w:val="multilevel"/>
    <w:tmpl w:val="2D0D053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20">
    <w:nsid w:val="394B3EAB"/>
    <w:multiLevelType w:val="multilevel"/>
    <w:tmpl w:val="394B3EA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22">
    <w:nsid w:val="3B13066C"/>
    <w:multiLevelType w:val="multilevel"/>
    <w:tmpl w:val="3B13066C"/>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3">
    <w:nsid w:val="3BBFBF2F"/>
    <w:multiLevelType w:val="multilevel"/>
    <w:tmpl w:val="3BBFBF2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24">
    <w:nsid w:val="4B1F283C"/>
    <w:multiLevelType w:val="singleLevel"/>
    <w:tmpl w:val="4B1F283C"/>
    <w:lvl w:ilvl="0" w:tentative="0">
      <w:start w:val="1"/>
      <w:numFmt w:val="bullet"/>
      <w:pStyle w:val="51"/>
      <w:lvlText w:val=""/>
      <w:lvlJc w:val="left"/>
      <w:pPr>
        <w:tabs>
          <w:tab w:val="left" w:pos="1843"/>
        </w:tabs>
        <w:ind w:left="1843" w:hanging="425"/>
      </w:pPr>
      <w:rPr>
        <w:rFonts w:hint="default" w:ascii="Symbol" w:hAnsi="Symbol"/>
      </w:rPr>
    </w:lvl>
  </w:abstractNum>
  <w:abstractNum w:abstractNumId="25">
    <w:nsid w:val="4B7802BA"/>
    <w:multiLevelType w:val="multilevel"/>
    <w:tmpl w:val="4B7802B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6">
    <w:nsid w:val="4FB773E6"/>
    <w:multiLevelType w:val="multilevel"/>
    <w:tmpl w:val="4FB773E6"/>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7">
    <w:nsid w:val="7C267F9C"/>
    <w:multiLevelType w:val="multilevel"/>
    <w:tmpl w:val="7C267F9C"/>
    <w:lvl w:ilvl="0" w:tentative="0">
      <w:start w:val="0"/>
      <w:numFmt w:val="bullet"/>
      <w:pStyle w:val="71"/>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D7C236B"/>
    <w:multiLevelType w:val="singleLevel"/>
    <w:tmpl w:val="7D7C236B"/>
    <w:lvl w:ilvl="0" w:tentative="0">
      <w:start w:val="1"/>
      <w:numFmt w:val="bullet"/>
      <w:lvlText w:val=""/>
      <w:lvlJc w:val="left"/>
      <w:pPr>
        <w:tabs>
          <w:tab w:val="left" w:pos="420"/>
        </w:tabs>
        <w:ind w:left="840" w:hanging="420"/>
      </w:pPr>
      <w:rPr>
        <w:rFonts w:hint="default" w:ascii="Wingdings" w:hAnsi="Wingdings"/>
      </w:rPr>
    </w:lvl>
  </w:abstractNum>
  <w:num w:numId="1">
    <w:abstractNumId w:val="19"/>
  </w:num>
  <w:num w:numId="2">
    <w:abstractNumId w:val="14"/>
  </w:num>
  <w:num w:numId="3">
    <w:abstractNumId w:val="15"/>
  </w:num>
  <w:num w:numId="4">
    <w:abstractNumId w:val="21"/>
  </w:num>
  <w:num w:numId="5">
    <w:abstractNumId w:val="24"/>
  </w:num>
  <w:num w:numId="6">
    <w:abstractNumId w:val="16"/>
    <w:lvlOverride w:ilvl="0">
      <w:lvl w:ilvl="0" w:tentative="1">
        <w:start w:val="1"/>
        <w:numFmt w:val="bullet"/>
        <w:pStyle w:val="66"/>
        <w:lvlText w:val=""/>
        <w:legacy w:legacy="1" w:legacySpace="0" w:legacyIndent="360"/>
        <w:lvlJc w:val="left"/>
        <w:pPr>
          <w:ind w:left="360" w:hanging="360"/>
        </w:pPr>
        <w:rPr>
          <w:rFonts w:hint="default" w:ascii="Symbol" w:hAnsi="Symbol"/>
        </w:rPr>
      </w:lvl>
    </w:lvlOverride>
  </w:num>
  <w:num w:numId="7">
    <w:abstractNumId w:val="27"/>
  </w:num>
  <w:num w:numId="8">
    <w:abstractNumId w:val="26"/>
  </w:num>
  <w:num w:numId="9">
    <w:abstractNumId w:val="18"/>
  </w:num>
  <w:num w:numId="10">
    <w:abstractNumId w:val="22"/>
  </w:num>
  <w:num w:numId="11">
    <w:abstractNumId w:val="25"/>
  </w:num>
  <w:num w:numId="12">
    <w:abstractNumId w:val="20"/>
  </w:num>
  <w:num w:numId="13">
    <w:abstractNumId w:val="7"/>
  </w:num>
  <w:num w:numId="14">
    <w:abstractNumId w:val="3"/>
  </w:num>
  <w:num w:numId="15">
    <w:abstractNumId w:val="12"/>
  </w:num>
  <w:num w:numId="16">
    <w:abstractNumId w:val="1"/>
  </w:num>
  <w:num w:numId="17">
    <w:abstractNumId w:val="11"/>
  </w:num>
  <w:num w:numId="18">
    <w:abstractNumId w:val="17"/>
  </w:num>
  <w:num w:numId="19">
    <w:abstractNumId w:val="13"/>
  </w:num>
  <w:num w:numId="20">
    <w:abstractNumId w:val="23"/>
  </w:num>
  <w:num w:numId="21">
    <w:abstractNumId w:val="8"/>
  </w:num>
  <w:num w:numId="22">
    <w:abstractNumId w:val="10"/>
  </w:num>
  <w:num w:numId="23">
    <w:abstractNumId w:val="6"/>
  </w:num>
  <w:num w:numId="24">
    <w:abstractNumId w:val="0"/>
  </w:num>
  <w:num w:numId="25">
    <w:abstractNumId w:val="5"/>
  </w:num>
  <w:num w:numId="26">
    <w:abstractNumId w:val="2"/>
  </w:num>
  <w:num w:numId="27">
    <w:abstractNumId w:val="9"/>
  </w:num>
  <w:num w:numId="28">
    <w:abstractNumId w:val="4"/>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7"/>
  <w:doNotDisplayPageBoundaries w:val="1"/>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4E1"/>
    <w:rsid w:val="00000825"/>
    <w:rsid w:val="00000D04"/>
    <w:rsid w:val="00000DB2"/>
    <w:rsid w:val="0000195C"/>
    <w:rsid w:val="00001989"/>
    <w:rsid w:val="000020F6"/>
    <w:rsid w:val="00002893"/>
    <w:rsid w:val="00002C6C"/>
    <w:rsid w:val="000033A3"/>
    <w:rsid w:val="00003605"/>
    <w:rsid w:val="00003C56"/>
    <w:rsid w:val="00003EC2"/>
    <w:rsid w:val="000040A9"/>
    <w:rsid w:val="0000458E"/>
    <w:rsid w:val="00004CA4"/>
    <w:rsid w:val="00004E70"/>
    <w:rsid w:val="00006346"/>
    <w:rsid w:val="00006DDC"/>
    <w:rsid w:val="000072B6"/>
    <w:rsid w:val="00007813"/>
    <w:rsid w:val="00010407"/>
    <w:rsid w:val="000109E6"/>
    <w:rsid w:val="00010B42"/>
    <w:rsid w:val="00011F67"/>
    <w:rsid w:val="00012712"/>
    <w:rsid w:val="00012862"/>
    <w:rsid w:val="000128E6"/>
    <w:rsid w:val="00013016"/>
    <w:rsid w:val="000149E6"/>
    <w:rsid w:val="00015EFB"/>
    <w:rsid w:val="00016553"/>
    <w:rsid w:val="000165E2"/>
    <w:rsid w:val="00016DFD"/>
    <w:rsid w:val="000172BE"/>
    <w:rsid w:val="00017D8A"/>
    <w:rsid w:val="000203AF"/>
    <w:rsid w:val="00020EB8"/>
    <w:rsid w:val="00021595"/>
    <w:rsid w:val="000224ED"/>
    <w:rsid w:val="00022BDB"/>
    <w:rsid w:val="00022FF3"/>
    <w:rsid w:val="00023388"/>
    <w:rsid w:val="00023425"/>
    <w:rsid w:val="00023FB1"/>
    <w:rsid w:val="000241BE"/>
    <w:rsid w:val="000242F2"/>
    <w:rsid w:val="00024838"/>
    <w:rsid w:val="00024C72"/>
    <w:rsid w:val="00024C7B"/>
    <w:rsid w:val="000256F4"/>
    <w:rsid w:val="0002630F"/>
    <w:rsid w:val="00026D4B"/>
    <w:rsid w:val="00027121"/>
    <w:rsid w:val="000275C6"/>
    <w:rsid w:val="00027AD6"/>
    <w:rsid w:val="0003024C"/>
    <w:rsid w:val="000302A5"/>
    <w:rsid w:val="000312B8"/>
    <w:rsid w:val="00031ADB"/>
    <w:rsid w:val="00032056"/>
    <w:rsid w:val="000328CA"/>
    <w:rsid w:val="00032E40"/>
    <w:rsid w:val="0003376B"/>
    <w:rsid w:val="00034511"/>
    <w:rsid w:val="00034676"/>
    <w:rsid w:val="000346E6"/>
    <w:rsid w:val="0003492C"/>
    <w:rsid w:val="000352B3"/>
    <w:rsid w:val="00035317"/>
    <w:rsid w:val="00035370"/>
    <w:rsid w:val="000366FF"/>
    <w:rsid w:val="000367A7"/>
    <w:rsid w:val="000377AE"/>
    <w:rsid w:val="000378AE"/>
    <w:rsid w:val="00037F4F"/>
    <w:rsid w:val="000401B4"/>
    <w:rsid w:val="0004023E"/>
    <w:rsid w:val="0004024B"/>
    <w:rsid w:val="00040D00"/>
    <w:rsid w:val="00041C57"/>
    <w:rsid w:val="00043358"/>
    <w:rsid w:val="000434B7"/>
    <w:rsid w:val="000435E4"/>
    <w:rsid w:val="00044713"/>
    <w:rsid w:val="000449AC"/>
    <w:rsid w:val="00044AB4"/>
    <w:rsid w:val="00044F91"/>
    <w:rsid w:val="00044FEC"/>
    <w:rsid w:val="00045411"/>
    <w:rsid w:val="00046796"/>
    <w:rsid w:val="000467FD"/>
    <w:rsid w:val="00046AAF"/>
    <w:rsid w:val="00047225"/>
    <w:rsid w:val="0004747C"/>
    <w:rsid w:val="000474FA"/>
    <w:rsid w:val="00047E60"/>
    <w:rsid w:val="000507AA"/>
    <w:rsid w:val="00050860"/>
    <w:rsid w:val="00052AD2"/>
    <w:rsid w:val="00052E0B"/>
    <w:rsid w:val="000530DF"/>
    <w:rsid w:val="000532AA"/>
    <w:rsid w:val="00054E0C"/>
    <w:rsid w:val="0005541D"/>
    <w:rsid w:val="00055652"/>
    <w:rsid w:val="00055CD6"/>
    <w:rsid w:val="00055CD7"/>
    <w:rsid w:val="000565C8"/>
    <w:rsid w:val="00057DC8"/>
    <w:rsid w:val="000600BB"/>
    <w:rsid w:val="00060C8B"/>
    <w:rsid w:val="0006106C"/>
    <w:rsid w:val="000612E1"/>
    <w:rsid w:val="000614FE"/>
    <w:rsid w:val="00061D60"/>
    <w:rsid w:val="00063B36"/>
    <w:rsid w:val="0006422F"/>
    <w:rsid w:val="0006531B"/>
    <w:rsid w:val="000657BF"/>
    <w:rsid w:val="00065D38"/>
    <w:rsid w:val="00067CF5"/>
    <w:rsid w:val="00067DD1"/>
    <w:rsid w:val="00070397"/>
    <w:rsid w:val="00070447"/>
    <w:rsid w:val="000706E7"/>
    <w:rsid w:val="000706F4"/>
    <w:rsid w:val="00070C5E"/>
    <w:rsid w:val="00070EF8"/>
    <w:rsid w:val="00070F38"/>
    <w:rsid w:val="000710FE"/>
    <w:rsid w:val="00071192"/>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268D"/>
    <w:rsid w:val="0009269B"/>
    <w:rsid w:val="000933FB"/>
    <w:rsid w:val="00093697"/>
    <w:rsid w:val="00093773"/>
    <w:rsid w:val="00093D42"/>
    <w:rsid w:val="00093DD0"/>
    <w:rsid w:val="000944A1"/>
    <w:rsid w:val="00094A16"/>
    <w:rsid w:val="00094DE6"/>
    <w:rsid w:val="00094EDF"/>
    <w:rsid w:val="00096356"/>
    <w:rsid w:val="00096420"/>
    <w:rsid w:val="00096785"/>
    <w:rsid w:val="00096AF9"/>
    <w:rsid w:val="00097437"/>
    <w:rsid w:val="00097A13"/>
    <w:rsid w:val="00097C99"/>
    <w:rsid w:val="000A01AC"/>
    <w:rsid w:val="000A0F14"/>
    <w:rsid w:val="000A1441"/>
    <w:rsid w:val="000A1A06"/>
    <w:rsid w:val="000A1B60"/>
    <w:rsid w:val="000A21B4"/>
    <w:rsid w:val="000A2CC7"/>
    <w:rsid w:val="000A2ED6"/>
    <w:rsid w:val="000A3156"/>
    <w:rsid w:val="000A354E"/>
    <w:rsid w:val="000A4205"/>
    <w:rsid w:val="000A45DE"/>
    <w:rsid w:val="000A4A19"/>
    <w:rsid w:val="000A4DBA"/>
    <w:rsid w:val="000A4FE8"/>
    <w:rsid w:val="000A50DF"/>
    <w:rsid w:val="000A56DB"/>
    <w:rsid w:val="000A56DD"/>
    <w:rsid w:val="000A5A40"/>
    <w:rsid w:val="000A6351"/>
    <w:rsid w:val="000A63D6"/>
    <w:rsid w:val="000A70C3"/>
    <w:rsid w:val="000A7B38"/>
    <w:rsid w:val="000B0343"/>
    <w:rsid w:val="000B15EB"/>
    <w:rsid w:val="000B23C6"/>
    <w:rsid w:val="000B2588"/>
    <w:rsid w:val="000B2985"/>
    <w:rsid w:val="000B2C88"/>
    <w:rsid w:val="000B3342"/>
    <w:rsid w:val="000B3AA2"/>
    <w:rsid w:val="000B51FA"/>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52B"/>
    <w:rsid w:val="000C2CA9"/>
    <w:rsid w:val="000C2FBD"/>
    <w:rsid w:val="000C301A"/>
    <w:rsid w:val="000C34A4"/>
    <w:rsid w:val="000C3A7F"/>
    <w:rsid w:val="000C3B0C"/>
    <w:rsid w:val="000C3D63"/>
    <w:rsid w:val="000C422D"/>
    <w:rsid w:val="000C4824"/>
    <w:rsid w:val="000C4ADF"/>
    <w:rsid w:val="000C4B77"/>
    <w:rsid w:val="000C5021"/>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51"/>
    <w:rsid w:val="000D59C0"/>
    <w:rsid w:val="000D5C60"/>
    <w:rsid w:val="000D71E2"/>
    <w:rsid w:val="000D73A5"/>
    <w:rsid w:val="000D7DC5"/>
    <w:rsid w:val="000E07D6"/>
    <w:rsid w:val="000E0BC6"/>
    <w:rsid w:val="000E0FD0"/>
    <w:rsid w:val="000E106A"/>
    <w:rsid w:val="000E10AD"/>
    <w:rsid w:val="000E1380"/>
    <w:rsid w:val="000E13D1"/>
    <w:rsid w:val="000E18DF"/>
    <w:rsid w:val="000E1BDE"/>
    <w:rsid w:val="000E2004"/>
    <w:rsid w:val="000E2A77"/>
    <w:rsid w:val="000E2EC1"/>
    <w:rsid w:val="000E499F"/>
    <w:rsid w:val="000E4ABA"/>
    <w:rsid w:val="000E53C0"/>
    <w:rsid w:val="000E59A0"/>
    <w:rsid w:val="000E5C63"/>
    <w:rsid w:val="000E7A84"/>
    <w:rsid w:val="000F0E23"/>
    <w:rsid w:val="000F1004"/>
    <w:rsid w:val="000F15BC"/>
    <w:rsid w:val="000F1757"/>
    <w:rsid w:val="000F180A"/>
    <w:rsid w:val="000F1C92"/>
    <w:rsid w:val="000F1F17"/>
    <w:rsid w:val="000F2A37"/>
    <w:rsid w:val="000F2EEE"/>
    <w:rsid w:val="000F3697"/>
    <w:rsid w:val="000F3909"/>
    <w:rsid w:val="000F3C7E"/>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6032"/>
    <w:rsid w:val="001067C8"/>
    <w:rsid w:val="00107037"/>
    <w:rsid w:val="00107779"/>
    <w:rsid w:val="001078C2"/>
    <w:rsid w:val="00107E1C"/>
    <w:rsid w:val="00110243"/>
    <w:rsid w:val="001104C2"/>
    <w:rsid w:val="00110F68"/>
    <w:rsid w:val="001112C4"/>
    <w:rsid w:val="00111444"/>
    <w:rsid w:val="00111723"/>
    <w:rsid w:val="001129B5"/>
    <w:rsid w:val="00112BE6"/>
    <w:rsid w:val="00113B94"/>
    <w:rsid w:val="001141E3"/>
    <w:rsid w:val="001144DF"/>
    <w:rsid w:val="001154E5"/>
    <w:rsid w:val="0011557B"/>
    <w:rsid w:val="00115F9D"/>
    <w:rsid w:val="00116739"/>
    <w:rsid w:val="00117C85"/>
    <w:rsid w:val="001205C1"/>
    <w:rsid w:val="00120B0B"/>
    <w:rsid w:val="00120B13"/>
    <w:rsid w:val="00120BD7"/>
    <w:rsid w:val="0012211B"/>
    <w:rsid w:val="00124CCA"/>
    <w:rsid w:val="00124D84"/>
    <w:rsid w:val="001250DD"/>
    <w:rsid w:val="00125733"/>
    <w:rsid w:val="001263AA"/>
    <w:rsid w:val="00126DD3"/>
    <w:rsid w:val="00127981"/>
    <w:rsid w:val="00130779"/>
    <w:rsid w:val="001307A1"/>
    <w:rsid w:val="00130D22"/>
    <w:rsid w:val="001321D3"/>
    <w:rsid w:val="00133599"/>
    <w:rsid w:val="00133BF7"/>
    <w:rsid w:val="00134B88"/>
    <w:rsid w:val="001357D2"/>
    <w:rsid w:val="00136A23"/>
    <w:rsid w:val="00136A49"/>
    <w:rsid w:val="00136B99"/>
    <w:rsid w:val="00137BCF"/>
    <w:rsid w:val="00140501"/>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47A"/>
    <w:rsid w:val="00147888"/>
    <w:rsid w:val="00151619"/>
    <w:rsid w:val="001517D2"/>
    <w:rsid w:val="00151D2A"/>
    <w:rsid w:val="001522F2"/>
    <w:rsid w:val="00152835"/>
    <w:rsid w:val="001534AA"/>
    <w:rsid w:val="00153629"/>
    <w:rsid w:val="0015368D"/>
    <w:rsid w:val="00153E26"/>
    <w:rsid w:val="001554C3"/>
    <w:rsid w:val="001559FA"/>
    <w:rsid w:val="001562BC"/>
    <w:rsid w:val="00156374"/>
    <w:rsid w:val="00156D6E"/>
    <w:rsid w:val="001577D8"/>
    <w:rsid w:val="00157FC3"/>
    <w:rsid w:val="00160739"/>
    <w:rsid w:val="00161EEE"/>
    <w:rsid w:val="0016271E"/>
    <w:rsid w:val="00162D7A"/>
    <w:rsid w:val="001635BC"/>
    <w:rsid w:val="00163F06"/>
    <w:rsid w:val="0016449D"/>
    <w:rsid w:val="00164DA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C30"/>
    <w:rsid w:val="00177069"/>
    <w:rsid w:val="00177406"/>
    <w:rsid w:val="00177A1D"/>
    <w:rsid w:val="00177FC1"/>
    <w:rsid w:val="00180E50"/>
    <w:rsid w:val="0018149E"/>
    <w:rsid w:val="001815A2"/>
    <w:rsid w:val="00181FC1"/>
    <w:rsid w:val="00182EB1"/>
    <w:rsid w:val="00183034"/>
    <w:rsid w:val="001830F7"/>
    <w:rsid w:val="00183EA5"/>
    <w:rsid w:val="00183EE6"/>
    <w:rsid w:val="0018588A"/>
    <w:rsid w:val="0018688E"/>
    <w:rsid w:val="00186FB5"/>
    <w:rsid w:val="00187252"/>
    <w:rsid w:val="0019053D"/>
    <w:rsid w:val="00190B5B"/>
    <w:rsid w:val="001913CF"/>
    <w:rsid w:val="001918AA"/>
    <w:rsid w:val="00191C91"/>
    <w:rsid w:val="0019264D"/>
    <w:rsid w:val="00192DD9"/>
    <w:rsid w:val="00193CF5"/>
    <w:rsid w:val="00194339"/>
    <w:rsid w:val="00194848"/>
    <w:rsid w:val="0019500D"/>
    <w:rsid w:val="001958EA"/>
    <w:rsid w:val="00195E0E"/>
    <w:rsid w:val="0019617B"/>
    <w:rsid w:val="001972F1"/>
    <w:rsid w:val="001A04A2"/>
    <w:rsid w:val="001A05B7"/>
    <w:rsid w:val="001A0C62"/>
    <w:rsid w:val="001A0EEE"/>
    <w:rsid w:val="001A1396"/>
    <w:rsid w:val="001A180D"/>
    <w:rsid w:val="001A1BAC"/>
    <w:rsid w:val="001A1BE6"/>
    <w:rsid w:val="001A23CE"/>
    <w:rsid w:val="001A291B"/>
    <w:rsid w:val="001A2C89"/>
    <w:rsid w:val="001A2EF7"/>
    <w:rsid w:val="001A33BB"/>
    <w:rsid w:val="001A50CE"/>
    <w:rsid w:val="001A5715"/>
    <w:rsid w:val="001A59D0"/>
    <w:rsid w:val="001A5F1C"/>
    <w:rsid w:val="001A673E"/>
    <w:rsid w:val="001A7763"/>
    <w:rsid w:val="001A7844"/>
    <w:rsid w:val="001A7ED9"/>
    <w:rsid w:val="001B10F7"/>
    <w:rsid w:val="001B17C6"/>
    <w:rsid w:val="001B1EF4"/>
    <w:rsid w:val="001B3964"/>
    <w:rsid w:val="001B433D"/>
    <w:rsid w:val="001B4452"/>
    <w:rsid w:val="001B466C"/>
    <w:rsid w:val="001B4797"/>
    <w:rsid w:val="001B4F34"/>
    <w:rsid w:val="001B52EC"/>
    <w:rsid w:val="001B532E"/>
    <w:rsid w:val="001B554A"/>
    <w:rsid w:val="001B6564"/>
    <w:rsid w:val="001B691A"/>
    <w:rsid w:val="001B6D52"/>
    <w:rsid w:val="001B71CE"/>
    <w:rsid w:val="001C02D8"/>
    <w:rsid w:val="001C04E3"/>
    <w:rsid w:val="001C0A80"/>
    <w:rsid w:val="001C0AC4"/>
    <w:rsid w:val="001C0F86"/>
    <w:rsid w:val="001C1022"/>
    <w:rsid w:val="001C14E6"/>
    <w:rsid w:val="001C1BA5"/>
    <w:rsid w:val="001C1C34"/>
    <w:rsid w:val="001C2378"/>
    <w:rsid w:val="001C2A8F"/>
    <w:rsid w:val="001C2E6E"/>
    <w:rsid w:val="001C310C"/>
    <w:rsid w:val="001C386C"/>
    <w:rsid w:val="001C39A1"/>
    <w:rsid w:val="001C3AE5"/>
    <w:rsid w:val="001C3CC5"/>
    <w:rsid w:val="001C3EE9"/>
    <w:rsid w:val="001C3FA4"/>
    <w:rsid w:val="001C40F9"/>
    <w:rsid w:val="001C44F9"/>
    <w:rsid w:val="001C458B"/>
    <w:rsid w:val="001C476F"/>
    <w:rsid w:val="001C52BE"/>
    <w:rsid w:val="001C533E"/>
    <w:rsid w:val="001C5B07"/>
    <w:rsid w:val="001C5C79"/>
    <w:rsid w:val="001C5D4F"/>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617B"/>
    <w:rsid w:val="001D6567"/>
    <w:rsid w:val="001D67B0"/>
    <w:rsid w:val="001D695C"/>
    <w:rsid w:val="001D6FD9"/>
    <w:rsid w:val="001D7389"/>
    <w:rsid w:val="001D73B7"/>
    <w:rsid w:val="001D74AD"/>
    <w:rsid w:val="001D780E"/>
    <w:rsid w:val="001E02E4"/>
    <w:rsid w:val="001E05C3"/>
    <w:rsid w:val="001E0AD3"/>
    <w:rsid w:val="001E2735"/>
    <w:rsid w:val="001E36E4"/>
    <w:rsid w:val="001E379D"/>
    <w:rsid w:val="001E3A3C"/>
    <w:rsid w:val="001E5107"/>
    <w:rsid w:val="001E557D"/>
    <w:rsid w:val="001E56DB"/>
    <w:rsid w:val="001E5C23"/>
    <w:rsid w:val="001E6DE4"/>
    <w:rsid w:val="001E7504"/>
    <w:rsid w:val="001E76DF"/>
    <w:rsid w:val="001E7842"/>
    <w:rsid w:val="001F02AA"/>
    <w:rsid w:val="001F09A2"/>
    <w:rsid w:val="001F0DCE"/>
    <w:rsid w:val="001F1308"/>
    <w:rsid w:val="001F1525"/>
    <w:rsid w:val="001F1E87"/>
    <w:rsid w:val="001F1EB6"/>
    <w:rsid w:val="001F2059"/>
    <w:rsid w:val="001F2E23"/>
    <w:rsid w:val="001F341F"/>
    <w:rsid w:val="001F3911"/>
    <w:rsid w:val="001F3F1A"/>
    <w:rsid w:val="001F4658"/>
    <w:rsid w:val="001F4CBD"/>
    <w:rsid w:val="001F5545"/>
    <w:rsid w:val="001F5777"/>
    <w:rsid w:val="001F5937"/>
    <w:rsid w:val="001F59E3"/>
    <w:rsid w:val="001F59ED"/>
    <w:rsid w:val="001F5A20"/>
    <w:rsid w:val="001F6A7F"/>
    <w:rsid w:val="001F70E2"/>
    <w:rsid w:val="001F7121"/>
    <w:rsid w:val="00200D2C"/>
    <w:rsid w:val="002019D8"/>
    <w:rsid w:val="00201EC7"/>
    <w:rsid w:val="00202056"/>
    <w:rsid w:val="00203227"/>
    <w:rsid w:val="0020349A"/>
    <w:rsid w:val="002034B4"/>
    <w:rsid w:val="00203621"/>
    <w:rsid w:val="002038BC"/>
    <w:rsid w:val="00204032"/>
    <w:rsid w:val="0020423B"/>
    <w:rsid w:val="002048A7"/>
    <w:rsid w:val="00204AFF"/>
    <w:rsid w:val="00204BAD"/>
    <w:rsid w:val="00204D60"/>
    <w:rsid w:val="0020526A"/>
    <w:rsid w:val="002052E4"/>
    <w:rsid w:val="00205415"/>
    <w:rsid w:val="00205627"/>
    <w:rsid w:val="002056D0"/>
    <w:rsid w:val="002066CC"/>
    <w:rsid w:val="00206B2C"/>
    <w:rsid w:val="00210691"/>
    <w:rsid w:val="00210696"/>
    <w:rsid w:val="00210860"/>
    <w:rsid w:val="0021089E"/>
    <w:rsid w:val="00210B6A"/>
    <w:rsid w:val="00210BAB"/>
    <w:rsid w:val="00211FE3"/>
    <w:rsid w:val="0021270D"/>
    <w:rsid w:val="00212CB6"/>
    <w:rsid w:val="00212E37"/>
    <w:rsid w:val="0021380B"/>
    <w:rsid w:val="002140FF"/>
    <w:rsid w:val="00214E88"/>
    <w:rsid w:val="002168AD"/>
    <w:rsid w:val="00216FD7"/>
    <w:rsid w:val="002206E0"/>
    <w:rsid w:val="00220894"/>
    <w:rsid w:val="00221AD0"/>
    <w:rsid w:val="00223792"/>
    <w:rsid w:val="00224952"/>
    <w:rsid w:val="00224DD2"/>
    <w:rsid w:val="00225468"/>
    <w:rsid w:val="00225A6A"/>
    <w:rsid w:val="00225AC7"/>
    <w:rsid w:val="00225ACC"/>
    <w:rsid w:val="00226637"/>
    <w:rsid w:val="00226BC8"/>
    <w:rsid w:val="0022756D"/>
    <w:rsid w:val="00227800"/>
    <w:rsid w:val="00231C25"/>
    <w:rsid w:val="00231C6F"/>
    <w:rsid w:val="00232058"/>
    <w:rsid w:val="00232A90"/>
    <w:rsid w:val="00232AD9"/>
    <w:rsid w:val="00233297"/>
    <w:rsid w:val="00233A3E"/>
    <w:rsid w:val="00234151"/>
    <w:rsid w:val="00234513"/>
    <w:rsid w:val="00234F8C"/>
    <w:rsid w:val="00235542"/>
    <w:rsid w:val="002356D7"/>
    <w:rsid w:val="00235EA5"/>
    <w:rsid w:val="002369B0"/>
    <w:rsid w:val="00236AD8"/>
    <w:rsid w:val="0023775D"/>
    <w:rsid w:val="00237C82"/>
    <w:rsid w:val="002401F5"/>
    <w:rsid w:val="00240A1E"/>
    <w:rsid w:val="00240E54"/>
    <w:rsid w:val="00241A47"/>
    <w:rsid w:val="00241C20"/>
    <w:rsid w:val="002423CE"/>
    <w:rsid w:val="00242C26"/>
    <w:rsid w:val="00244A02"/>
    <w:rsid w:val="002451C5"/>
    <w:rsid w:val="00245F1F"/>
    <w:rsid w:val="002465F4"/>
    <w:rsid w:val="0024663B"/>
    <w:rsid w:val="00246EA0"/>
    <w:rsid w:val="00247103"/>
    <w:rsid w:val="002478C3"/>
    <w:rsid w:val="00250067"/>
    <w:rsid w:val="002501A9"/>
    <w:rsid w:val="002507D4"/>
    <w:rsid w:val="0025132A"/>
    <w:rsid w:val="002516DE"/>
    <w:rsid w:val="00251F81"/>
    <w:rsid w:val="00252BE0"/>
    <w:rsid w:val="002531AD"/>
    <w:rsid w:val="00253588"/>
    <w:rsid w:val="002544D4"/>
    <w:rsid w:val="002546F4"/>
    <w:rsid w:val="002551D0"/>
    <w:rsid w:val="00255374"/>
    <w:rsid w:val="00255D09"/>
    <w:rsid w:val="00256F03"/>
    <w:rsid w:val="00257BF4"/>
    <w:rsid w:val="00260003"/>
    <w:rsid w:val="0026035D"/>
    <w:rsid w:val="002606D6"/>
    <w:rsid w:val="002611ED"/>
    <w:rsid w:val="0026173F"/>
    <w:rsid w:val="00261C98"/>
    <w:rsid w:val="0026248E"/>
    <w:rsid w:val="00262914"/>
    <w:rsid w:val="002647BF"/>
    <w:rsid w:val="002647D5"/>
    <w:rsid w:val="002649D0"/>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04C"/>
    <w:rsid w:val="0027195D"/>
    <w:rsid w:val="0027257C"/>
    <w:rsid w:val="002726B0"/>
    <w:rsid w:val="00272A05"/>
    <w:rsid w:val="00272B03"/>
    <w:rsid w:val="002733E2"/>
    <w:rsid w:val="002750B1"/>
    <w:rsid w:val="00275AE9"/>
    <w:rsid w:val="002768ED"/>
    <w:rsid w:val="00276A35"/>
    <w:rsid w:val="00277835"/>
    <w:rsid w:val="00280AB1"/>
    <w:rsid w:val="00280D7D"/>
    <w:rsid w:val="002836D7"/>
    <w:rsid w:val="00284BAE"/>
    <w:rsid w:val="002859AF"/>
    <w:rsid w:val="00285FA2"/>
    <w:rsid w:val="0028608C"/>
    <w:rsid w:val="002862E3"/>
    <w:rsid w:val="00286AE7"/>
    <w:rsid w:val="00287243"/>
    <w:rsid w:val="00287D79"/>
    <w:rsid w:val="002903AD"/>
    <w:rsid w:val="00290647"/>
    <w:rsid w:val="00290FF3"/>
    <w:rsid w:val="00291385"/>
    <w:rsid w:val="00291422"/>
    <w:rsid w:val="0029237F"/>
    <w:rsid w:val="00292715"/>
    <w:rsid w:val="0029329F"/>
    <w:rsid w:val="0029334E"/>
    <w:rsid w:val="00293446"/>
    <w:rsid w:val="00293B0A"/>
    <w:rsid w:val="00293E57"/>
    <w:rsid w:val="0029469B"/>
    <w:rsid w:val="002947D1"/>
    <w:rsid w:val="00294814"/>
    <w:rsid w:val="002948DF"/>
    <w:rsid w:val="00294D90"/>
    <w:rsid w:val="00294F91"/>
    <w:rsid w:val="00295E7E"/>
    <w:rsid w:val="00296125"/>
    <w:rsid w:val="002966B8"/>
    <w:rsid w:val="002974E4"/>
    <w:rsid w:val="002A0B75"/>
    <w:rsid w:val="002A10A6"/>
    <w:rsid w:val="002A1234"/>
    <w:rsid w:val="002A1E92"/>
    <w:rsid w:val="002A204D"/>
    <w:rsid w:val="002A2616"/>
    <w:rsid w:val="002A26E1"/>
    <w:rsid w:val="002A275F"/>
    <w:rsid w:val="002A368A"/>
    <w:rsid w:val="002A4065"/>
    <w:rsid w:val="002A471F"/>
    <w:rsid w:val="002A4FD8"/>
    <w:rsid w:val="002A59F0"/>
    <w:rsid w:val="002A5E54"/>
    <w:rsid w:val="002A62CB"/>
    <w:rsid w:val="002A63BF"/>
    <w:rsid w:val="002A6432"/>
    <w:rsid w:val="002A6F25"/>
    <w:rsid w:val="002A6FD3"/>
    <w:rsid w:val="002A7FA5"/>
    <w:rsid w:val="002B0A7D"/>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BDC"/>
    <w:rsid w:val="002B6CCC"/>
    <w:rsid w:val="002B75B0"/>
    <w:rsid w:val="002B7EAF"/>
    <w:rsid w:val="002C099C"/>
    <w:rsid w:val="002C0B74"/>
    <w:rsid w:val="002C0C8B"/>
    <w:rsid w:val="002C0CBB"/>
    <w:rsid w:val="002C1201"/>
    <w:rsid w:val="002C1460"/>
    <w:rsid w:val="002C15DC"/>
    <w:rsid w:val="002C20F2"/>
    <w:rsid w:val="002C35E0"/>
    <w:rsid w:val="002C38B2"/>
    <w:rsid w:val="002C3C28"/>
    <w:rsid w:val="002C3F9C"/>
    <w:rsid w:val="002C535F"/>
    <w:rsid w:val="002C568E"/>
    <w:rsid w:val="002C5930"/>
    <w:rsid w:val="002C5AFA"/>
    <w:rsid w:val="002C5B4E"/>
    <w:rsid w:val="002C70BA"/>
    <w:rsid w:val="002C793C"/>
    <w:rsid w:val="002C7C79"/>
    <w:rsid w:val="002D0439"/>
    <w:rsid w:val="002D0670"/>
    <w:rsid w:val="002D0766"/>
    <w:rsid w:val="002D11B7"/>
    <w:rsid w:val="002D3BBC"/>
    <w:rsid w:val="002D438A"/>
    <w:rsid w:val="002D5738"/>
    <w:rsid w:val="002D5E53"/>
    <w:rsid w:val="002D66D7"/>
    <w:rsid w:val="002D770A"/>
    <w:rsid w:val="002D7D83"/>
    <w:rsid w:val="002E0319"/>
    <w:rsid w:val="002E1691"/>
    <w:rsid w:val="002E179B"/>
    <w:rsid w:val="002E1C9E"/>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8FC"/>
    <w:rsid w:val="00305EAF"/>
    <w:rsid w:val="00305FF9"/>
    <w:rsid w:val="003066E4"/>
    <w:rsid w:val="00306B15"/>
    <w:rsid w:val="00306DB6"/>
    <w:rsid w:val="00306E6B"/>
    <w:rsid w:val="00307BE8"/>
    <w:rsid w:val="003100C8"/>
    <w:rsid w:val="00310188"/>
    <w:rsid w:val="00310426"/>
    <w:rsid w:val="00310467"/>
    <w:rsid w:val="00310581"/>
    <w:rsid w:val="00311161"/>
    <w:rsid w:val="00312220"/>
    <w:rsid w:val="00312400"/>
    <w:rsid w:val="00312739"/>
    <w:rsid w:val="00312D10"/>
    <w:rsid w:val="00313D21"/>
    <w:rsid w:val="00313DDF"/>
    <w:rsid w:val="00313F61"/>
    <w:rsid w:val="00315EBF"/>
    <w:rsid w:val="00315FAB"/>
    <w:rsid w:val="00316272"/>
    <w:rsid w:val="003164E4"/>
    <w:rsid w:val="003169DC"/>
    <w:rsid w:val="003178DA"/>
    <w:rsid w:val="00317DB8"/>
    <w:rsid w:val="00320618"/>
    <w:rsid w:val="00320F71"/>
    <w:rsid w:val="0032100B"/>
    <w:rsid w:val="00321BD7"/>
    <w:rsid w:val="0032260F"/>
    <w:rsid w:val="00322613"/>
    <w:rsid w:val="003228DA"/>
    <w:rsid w:val="00323437"/>
    <w:rsid w:val="00323486"/>
    <w:rsid w:val="00323D6B"/>
    <w:rsid w:val="00324250"/>
    <w:rsid w:val="00326957"/>
    <w:rsid w:val="00326AE2"/>
    <w:rsid w:val="00331426"/>
    <w:rsid w:val="0033171D"/>
    <w:rsid w:val="0033197D"/>
    <w:rsid w:val="00331FC3"/>
    <w:rsid w:val="00332303"/>
    <w:rsid w:val="00332E75"/>
    <w:rsid w:val="003336B3"/>
    <w:rsid w:val="00334245"/>
    <w:rsid w:val="00335B75"/>
    <w:rsid w:val="00335D8C"/>
    <w:rsid w:val="00336072"/>
    <w:rsid w:val="003363A1"/>
    <w:rsid w:val="003365B1"/>
    <w:rsid w:val="003365B7"/>
    <w:rsid w:val="00336AA6"/>
    <w:rsid w:val="00337704"/>
    <w:rsid w:val="0034052D"/>
    <w:rsid w:val="003406F0"/>
    <w:rsid w:val="0034149C"/>
    <w:rsid w:val="0034161D"/>
    <w:rsid w:val="00341ECE"/>
    <w:rsid w:val="0034226D"/>
    <w:rsid w:val="00342972"/>
    <w:rsid w:val="00342F49"/>
    <w:rsid w:val="00342FDD"/>
    <w:rsid w:val="0034429B"/>
    <w:rsid w:val="00344866"/>
    <w:rsid w:val="003457C0"/>
    <w:rsid w:val="00345B16"/>
    <w:rsid w:val="00345EA5"/>
    <w:rsid w:val="0034638C"/>
    <w:rsid w:val="00346F7F"/>
    <w:rsid w:val="003477F0"/>
    <w:rsid w:val="00347ED3"/>
    <w:rsid w:val="00350108"/>
    <w:rsid w:val="00350762"/>
    <w:rsid w:val="003507C4"/>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792"/>
    <w:rsid w:val="00360232"/>
    <w:rsid w:val="003602E0"/>
    <w:rsid w:val="00360750"/>
    <w:rsid w:val="00360D01"/>
    <w:rsid w:val="00360F3F"/>
    <w:rsid w:val="00362415"/>
    <w:rsid w:val="00362569"/>
    <w:rsid w:val="003631D2"/>
    <w:rsid w:val="003633F1"/>
    <w:rsid w:val="00363642"/>
    <w:rsid w:val="003636CD"/>
    <w:rsid w:val="003637A2"/>
    <w:rsid w:val="0036487C"/>
    <w:rsid w:val="00365411"/>
    <w:rsid w:val="00365505"/>
    <w:rsid w:val="00365A4A"/>
    <w:rsid w:val="00365FA2"/>
    <w:rsid w:val="00366212"/>
    <w:rsid w:val="00366878"/>
    <w:rsid w:val="00366C69"/>
    <w:rsid w:val="003672DE"/>
    <w:rsid w:val="00367441"/>
    <w:rsid w:val="003679CC"/>
    <w:rsid w:val="00367B1D"/>
    <w:rsid w:val="00367D98"/>
    <w:rsid w:val="003709AE"/>
    <w:rsid w:val="00370E4F"/>
    <w:rsid w:val="00371215"/>
    <w:rsid w:val="00371A4F"/>
    <w:rsid w:val="0037205C"/>
    <w:rsid w:val="00372C68"/>
    <w:rsid w:val="00372F0D"/>
    <w:rsid w:val="0037366F"/>
    <w:rsid w:val="0037397A"/>
    <w:rsid w:val="00373F18"/>
    <w:rsid w:val="00374059"/>
    <w:rsid w:val="0037535B"/>
    <w:rsid w:val="0037552D"/>
    <w:rsid w:val="003756DB"/>
    <w:rsid w:val="00375722"/>
    <w:rsid w:val="00376811"/>
    <w:rsid w:val="00376D7F"/>
    <w:rsid w:val="003770BB"/>
    <w:rsid w:val="0037739C"/>
    <w:rsid w:val="003773CF"/>
    <w:rsid w:val="0037771A"/>
    <w:rsid w:val="00377DFA"/>
    <w:rsid w:val="003802DC"/>
    <w:rsid w:val="003806B9"/>
    <w:rsid w:val="00380BB9"/>
    <w:rsid w:val="00380E4E"/>
    <w:rsid w:val="00380FBF"/>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0D88"/>
    <w:rsid w:val="00392A0A"/>
    <w:rsid w:val="00393448"/>
    <w:rsid w:val="0039366B"/>
    <w:rsid w:val="003940CE"/>
    <w:rsid w:val="003942F3"/>
    <w:rsid w:val="003957FD"/>
    <w:rsid w:val="00395F62"/>
    <w:rsid w:val="003970A2"/>
    <w:rsid w:val="00397C1D"/>
    <w:rsid w:val="003A180F"/>
    <w:rsid w:val="003A18DD"/>
    <w:rsid w:val="003A20C8"/>
    <w:rsid w:val="003A2C29"/>
    <w:rsid w:val="003A2EC3"/>
    <w:rsid w:val="003A36F2"/>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1012"/>
    <w:rsid w:val="003C11C9"/>
    <w:rsid w:val="003C1229"/>
    <w:rsid w:val="003C1FD4"/>
    <w:rsid w:val="003C213D"/>
    <w:rsid w:val="003C2400"/>
    <w:rsid w:val="003C25AD"/>
    <w:rsid w:val="003C299C"/>
    <w:rsid w:val="003C2B75"/>
    <w:rsid w:val="003C2D21"/>
    <w:rsid w:val="003C2F15"/>
    <w:rsid w:val="003C3301"/>
    <w:rsid w:val="003C4510"/>
    <w:rsid w:val="003C45F2"/>
    <w:rsid w:val="003C48B8"/>
    <w:rsid w:val="003C4B55"/>
    <w:rsid w:val="003C5A5F"/>
    <w:rsid w:val="003C5E6B"/>
    <w:rsid w:val="003C631A"/>
    <w:rsid w:val="003C7AD7"/>
    <w:rsid w:val="003C7BC2"/>
    <w:rsid w:val="003D0A97"/>
    <w:rsid w:val="003D0FC3"/>
    <w:rsid w:val="003D27E3"/>
    <w:rsid w:val="003D2C1D"/>
    <w:rsid w:val="003D2C34"/>
    <w:rsid w:val="003D3DDD"/>
    <w:rsid w:val="003D41FF"/>
    <w:rsid w:val="003D427A"/>
    <w:rsid w:val="003D4547"/>
    <w:rsid w:val="003D555F"/>
    <w:rsid w:val="003D5CBF"/>
    <w:rsid w:val="003D66D2"/>
    <w:rsid w:val="003D777E"/>
    <w:rsid w:val="003E012A"/>
    <w:rsid w:val="003E07AE"/>
    <w:rsid w:val="003E089C"/>
    <w:rsid w:val="003E0AE6"/>
    <w:rsid w:val="003E10E2"/>
    <w:rsid w:val="003E14FC"/>
    <w:rsid w:val="003E27B7"/>
    <w:rsid w:val="003E2976"/>
    <w:rsid w:val="003E347E"/>
    <w:rsid w:val="003E40FD"/>
    <w:rsid w:val="003E4858"/>
    <w:rsid w:val="003E4917"/>
    <w:rsid w:val="003E4A6B"/>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6C4"/>
    <w:rsid w:val="003F6CD2"/>
    <w:rsid w:val="003F788D"/>
    <w:rsid w:val="0040083F"/>
    <w:rsid w:val="0040126E"/>
    <w:rsid w:val="00401A8C"/>
    <w:rsid w:val="004020D4"/>
    <w:rsid w:val="004021B6"/>
    <w:rsid w:val="004036FC"/>
    <w:rsid w:val="00403E5E"/>
    <w:rsid w:val="00403EA4"/>
    <w:rsid w:val="004047BE"/>
    <w:rsid w:val="004047C4"/>
    <w:rsid w:val="0040570B"/>
    <w:rsid w:val="00405AC1"/>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A30"/>
    <w:rsid w:val="00415D76"/>
    <w:rsid w:val="00416665"/>
    <w:rsid w:val="00416A67"/>
    <w:rsid w:val="00416ACB"/>
    <w:rsid w:val="00416F75"/>
    <w:rsid w:val="00417296"/>
    <w:rsid w:val="0041737A"/>
    <w:rsid w:val="004202DF"/>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13A"/>
    <w:rsid w:val="0043215C"/>
    <w:rsid w:val="00432A2C"/>
    <w:rsid w:val="004330F4"/>
    <w:rsid w:val="00433590"/>
    <w:rsid w:val="004336E0"/>
    <w:rsid w:val="00433753"/>
    <w:rsid w:val="004338EA"/>
    <w:rsid w:val="0043393D"/>
    <w:rsid w:val="004344C7"/>
    <w:rsid w:val="00434E85"/>
    <w:rsid w:val="00434F83"/>
    <w:rsid w:val="00435274"/>
    <w:rsid w:val="004352AD"/>
    <w:rsid w:val="0043545D"/>
    <w:rsid w:val="00435906"/>
    <w:rsid w:val="00435FE2"/>
    <w:rsid w:val="00436E2F"/>
    <w:rsid w:val="00436EAB"/>
    <w:rsid w:val="00436EFD"/>
    <w:rsid w:val="00436F22"/>
    <w:rsid w:val="00437AC9"/>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5D3"/>
    <w:rsid w:val="00453BB6"/>
    <w:rsid w:val="00453C7C"/>
    <w:rsid w:val="00453CAA"/>
    <w:rsid w:val="00454058"/>
    <w:rsid w:val="00454C1A"/>
    <w:rsid w:val="00455113"/>
    <w:rsid w:val="00455547"/>
    <w:rsid w:val="00455DB1"/>
    <w:rsid w:val="00455E16"/>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6532"/>
    <w:rsid w:val="00466C53"/>
    <w:rsid w:val="00467488"/>
    <w:rsid w:val="00467A55"/>
    <w:rsid w:val="0047083E"/>
    <w:rsid w:val="00470EB5"/>
    <w:rsid w:val="0047286B"/>
    <w:rsid w:val="00472E27"/>
    <w:rsid w:val="00473941"/>
    <w:rsid w:val="00474220"/>
    <w:rsid w:val="004752D3"/>
    <w:rsid w:val="004754E1"/>
    <w:rsid w:val="00475CE0"/>
    <w:rsid w:val="00476827"/>
    <w:rsid w:val="00476BD4"/>
    <w:rsid w:val="00477C35"/>
    <w:rsid w:val="00480033"/>
    <w:rsid w:val="00480053"/>
    <w:rsid w:val="004802AE"/>
    <w:rsid w:val="00480988"/>
    <w:rsid w:val="00480E05"/>
    <w:rsid w:val="00481F80"/>
    <w:rsid w:val="0048270A"/>
    <w:rsid w:val="00482B13"/>
    <w:rsid w:val="00482BBE"/>
    <w:rsid w:val="00483A12"/>
    <w:rsid w:val="00483EF7"/>
    <w:rsid w:val="00484A77"/>
    <w:rsid w:val="00484F77"/>
    <w:rsid w:val="0048540F"/>
    <w:rsid w:val="004857C8"/>
    <w:rsid w:val="00485970"/>
    <w:rsid w:val="00485C0D"/>
    <w:rsid w:val="00486575"/>
    <w:rsid w:val="004866D0"/>
    <w:rsid w:val="00486936"/>
    <w:rsid w:val="004872C5"/>
    <w:rsid w:val="004873B3"/>
    <w:rsid w:val="00487658"/>
    <w:rsid w:val="00487CBE"/>
    <w:rsid w:val="00491224"/>
    <w:rsid w:val="00491446"/>
    <w:rsid w:val="00491679"/>
    <w:rsid w:val="00491D93"/>
    <w:rsid w:val="00492071"/>
    <w:rsid w:val="00492111"/>
    <w:rsid w:val="00492459"/>
    <w:rsid w:val="0049291B"/>
    <w:rsid w:val="00494242"/>
    <w:rsid w:val="004943A4"/>
    <w:rsid w:val="00494E8E"/>
    <w:rsid w:val="004953F5"/>
    <w:rsid w:val="004954CC"/>
    <w:rsid w:val="004955BC"/>
    <w:rsid w:val="004958BB"/>
    <w:rsid w:val="00495D63"/>
    <w:rsid w:val="00495FBE"/>
    <w:rsid w:val="0049616C"/>
    <w:rsid w:val="0049648F"/>
    <w:rsid w:val="00496606"/>
    <w:rsid w:val="00496915"/>
    <w:rsid w:val="00496E6D"/>
    <w:rsid w:val="00496F05"/>
    <w:rsid w:val="00497370"/>
    <w:rsid w:val="004973A0"/>
    <w:rsid w:val="00497425"/>
    <w:rsid w:val="004A0F2E"/>
    <w:rsid w:val="004A0F39"/>
    <w:rsid w:val="004A1E49"/>
    <w:rsid w:val="004A251F"/>
    <w:rsid w:val="004A2704"/>
    <w:rsid w:val="004A3BF1"/>
    <w:rsid w:val="004A3E42"/>
    <w:rsid w:val="004A446C"/>
    <w:rsid w:val="004A4715"/>
    <w:rsid w:val="004A5046"/>
    <w:rsid w:val="004A565E"/>
    <w:rsid w:val="004A5DF3"/>
    <w:rsid w:val="004A6134"/>
    <w:rsid w:val="004A62CF"/>
    <w:rsid w:val="004A6CE3"/>
    <w:rsid w:val="004A6E47"/>
    <w:rsid w:val="004A7092"/>
    <w:rsid w:val="004A73C2"/>
    <w:rsid w:val="004A7AEC"/>
    <w:rsid w:val="004B063C"/>
    <w:rsid w:val="004B07A5"/>
    <w:rsid w:val="004B1314"/>
    <w:rsid w:val="004B2153"/>
    <w:rsid w:val="004B244B"/>
    <w:rsid w:val="004B2570"/>
    <w:rsid w:val="004B29CC"/>
    <w:rsid w:val="004B3C24"/>
    <w:rsid w:val="004B3FD1"/>
    <w:rsid w:val="004B4053"/>
    <w:rsid w:val="004B4059"/>
    <w:rsid w:val="004B4707"/>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40CE"/>
    <w:rsid w:val="004D47B1"/>
    <w:rsid w:val="004D55E1"/>
    <w:rsid w:val="004D57A7"/>
    <w:rsid w:val="004D5DF1"/>
    <w:rsid w:val="004D6A3E"/>
    <w:rsid w:val="004D6F4D"/>
    <w:rsid w:val="004D6F95"/>
    <w:rsid w:val="004D72FE"/>
    <w:rsid w:val="004D733C"/>
    <w:rsid w:val="004D7E91"/>
    <w:rsid w:val="004D7F94"/>
    <w:rsid w:val="004E003A"/>
    <w:rsid w:val="004E00E5"/>
    <w:rsid w:val="004E0768"/>
    <w:rsid w:val="004E1099"/>
    <w:rsid w:val="004E185B"/>
    <w:rsid w:val="004E1A31"/>
    <w:rsid w:val="004E2024"/>
    <w:rsid w:val="004E23AD"/>
    <w:rsid w:val="004E2DE0"/>
    <w:rsid w:val="004E36D6"/>
    <w:rsid w:val="004E3C80"/>
    <w:rsid w:val="004E4060"/>
    <w:rsid w:val="004E409A"/>
    <w:rsid w:val="004E6EB8"/>
    <w:rsid w:val="004E6F3F"/>
    <w:rsid w:val="004E792A"/>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10D69"/>
    <w:rsid w:val="00511960"/>
    <w:rsid w:val="00511F15"/>
    <w:rsid w:val="005124EF"/>
    <w:rsid w:val="00512563"/>
    <w:rsid w:val="00512B26"/>
    <w:rsid w:val="0051318C"/>
    <w:rsid w:val="0051359A"/>
    <w:rsid w:val="00513E27"/>
    <w:rsid w:val="005142CD"/>
    <w:rsid w:val="005142D3"/>
    <w:rsid w:val="005143C9"/>
    <w:rsid w:val="005156E5"/>
    <w:rsid w:val="005157A9"/>
    <w:rsid w:val="00516321"/>
    <w:rsid w:val="005173A7"/>
    <w:rsid w:val="005177E1"/>
    <w:rsid w:val="00520B04"/>
    <w:rsid w:val="00520C02"/>
    <w:rsid w:val="00520C0A"/>
    <w:rsid w:val="005215DB"/>
    <w:rsid w:val="005218B6"/>
    <w:rsid w:val="00521B01"/>
    <w:rsid w:val="00521CB7"/>
    <w:rsid w:val="00522589"/>
    <w:rsid w:val="00522D2C"/>
    <w:rsid w:val="00523111"/>
    <w:rsid w:val="00524545"/>
    <w:rsid w:val="0052477A"/>
    <w:rsid w:val="00524887"/>
    <w:rsid w:val="005248A9"/>
    <w:rsid w:val="005255BF"/>
    <w:rsid w:val="005257DE"/>
    <w:rsid w:val="00527200"/>
    <w:rsid w:val="0052726F"/>
    <w:rsid w:val="00530157"/>
    <w:rsid w:val="00530473"/>
    <w:rsid w:val="00531EBE"/>
    <w:rsid w:val="005325B0"/>
    <w:rsid w:val="00532A3A"/>
    <w:rsid w:val="00532F8B"/>
    <w:rsid w:val="005331D4"/>
    <w:rsid w:val="0053347A"/>
    <w:rsid w:val="00533737"/>
    <w:rsid w:val="00534B0B"/>
    <w:rsid w:val="00535197"/>
    <w:rsid w:val="00535597"/>
    <w:rsid w:val="00535B79"/>
    <w:rsid w:val="00535D7C"/>
    <w:rsid w:val="00536579"/>
    <w:rsid w:val="00536C1E"/>
    <w:rsid w:val="00537293"/>
    <w:rsid w:val="00537471"/>
    <w:rsid w:val="00537666"/>
    <w:rsid w:val="005376DA"/>
    <w:rsid w:val="00537813"/>
    <w:rsid w:val="00537BE9"/>
    <w:rsid w:val="00541C06"/>
    <w:rsid w:val="00541D0B"/>
    <w:rsid w:val="0054201F"/>
    <w:rsid w:val="005425AD"/>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D68"/>
    <w:rsid w:val="00557173"/>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5586"/>
    <w:rsid w:val="005656ED"/>
    <w:rsid w:val="00566544"/>
    <w:rsid w:val="00566608"/>
    <w:rsid w:val="00566C83"/>
    <w:rsid w:val="00567A06"/>
    <w:rsid w:val="00567B9A"/>
    <w:rsid w:val="005700FE"/>
    <w:rsid w:val="005704EB"/>
    <w:rsid w:val="00570DAE"/>
    <w:rsid w:val="00570E24"/>
    <w:rsid w:val="00570FF3"/>
    <w:rsid w:val="00572760"/>
    <w:rsid w:val="00572815"/>
    <w:rsid w:val="005730F3"/>
    <w:rsid w:val="005743DE"/>
    <w:rsid w:val="00574F3F"/>
    <w:rsid w:val="0057562C"/>
    <w:rsid w:val="005759F6"/>
    <w:rsid w:val="00575E3E"/>
    <w:rsid w:val="005765F5"/>
    <w:rsid w:val="00576D6C"/>
    <w:rsid w:val="00576DF2"/>
    <w:rsid w:val="0057730B"/>
    <w:rsid w:val="00577A2E"/>
    <w:rsid w:val="00577A75"/>
    <w:rsid w:val="005800B3"/>
    <w:rsid w:val="00580763"/>
    <w:rsid w:val="00580E48"/>
    <w:rsid w:val="00580F0A"/>
    <w:rsid w:val="00580F77"/>
    <w:rsid w:val="00581246"/>
    <w:rsid w:val="00581951"/>
    <w:rsid w:val="00581C52"/>
    <w:rsid w:val="00582C3A"/>
    <w:rsid w:val="00582E1A"/>
    <w:rsid w:val="00583147"/>
    <w:rsid w:val="00584416"/>
    <w:rsid w:val="00584B39"/>
    <w:rsid w:val="00584C27"/>
    <w:rsid w:val="00584FF5"/>
    <w:rsid w:val="00585028"/>
    <w:rsid w:val="005854D1"/>
    <w:rsid w:val="0058584A"/>
    <w:rsid w:val="00585F5B"/>
    <w:rsid w:val="0058620A"/>
    <w:rsid w:val="00587FC0"/>
    <w:rsid w:val="005902C6"/>
    <w:rsid w:val="00590379"/>
    <w:rsid w:val="005906AD"/>
    <w:rsid w:val="00590AC5"/>
    <w:rsid w:val="00590DA6"/>
    <w:rsid w:val="00591C7D"/>
    <w:rsid w:val="00591FBB"/>
    <w:rsid w:val="00592B03"/>
    <w:rsid w:val="00592E50"/>
    <w:rsid w:val="00592EE0"/>
    <w:rsid w:val="00593AB9"/>
    <w:rsid w:val="00594ABB"/>
    <w:rsid w:val="00594D1C"/>
    <w:rsid w:val="00594E36"/>
    <w:rsid w:val="00594F0A"/>
    <w:rsid w:val="0059525E"/>
    <w:rsid w:val="0059588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4348"/>
    <w:rsid w:val="005A434B"/>
    <w:rsid w:val="005A495A"/>
    <w:rsid w:val="005A5718"/>
    <w:rsid w:val="005A6537"/>
    <w:rsid w:val="005A71DA"/>
    <w:rsid w:val="005A7C61"/>
    <w:rsid w:val="005A7F32"/>
    <w:rsid w:val="005B0417"/>
    <w:rsid w:val="005B0542"/>
    <w:rsid w:val="005B0B97"/>
    <w:rsid w:val="005B2225"/>
    <w:rsid w:val="005B2799"/>
    <w:rsid w:val="005B2B77"/>
    <w:rsid w:val="005B3D4A"/>
    <w:rsid w:val="005B4D87"/>
    <w:rsid w:val="005B50E9"/>
    <w:rsid w:val="005B538D"/>
    <w:rsid w:val="005B566D"/>
    <w:rsid w:val="005B6398"/>
    <w:rsid w:val="005B6ADF"/>
    <w:rsid w:val="005B7186"/>
    <w:rsid w:val="005B7DD1"/>
    <w:rsid w:val="005B7F03"/>
    <w:rsid w:val="005C00A0"/>
    <w:rsid w:val="005C28FA"/>
    <w:rsid w:val="005C372C"/>
    <w:rsid w:val="005C40F4"/>
    <w:rsid w:val="005C43BE"/>
    <w:rsid w:val="005C44F3"/>
    <w:rsid w:val="005C6082"/>
    <w:rsid w:val="005C661F"/>
    <w:rsid w:val="005C6EBE"/>
    <w:rsid w:val="005C712D"/>
    <w:rsid w:val="005C76FE"/>
    <w:rsid w:val="005C7C75"/>
    <w:rsid w:val="005D0273"/>
    <w:rsid w:val="005D09D1"/>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FA"/>
    <w:rsid w:val="005D55BA"/>
    <w:rsid w:val="005D5ADB"/>
    <w:rsid w:val="005D5DFD"/>
    <w:rsid w:val="005D5E44"/>
    <w:rsid w:val="005D5FE3"/>
    <w:rsid w:val="005D648A"/>
    <w:rsid w:val="005D7D35"/>
    <w:rsid w:val="005D7E0D"/>
    <w:rsid w:val="005E136C"/>
    <w:rsid w:val="005E234A"/>
    <w:rsid w:val="005E29E2"/>
    <w:rsid w:val="005E2FAD"/>
    <w:rsid w:val="005E307B"/>
    <w:rsid w:val="005E35CC"/>
    <w:rsid w:val="005E371E"/>
    <w:rsid w:val="005E53F9"/>
    <w:rsid w:val="005E5708"/>
    <w:rsid w:val="005E6E57"/>
    <w:rsid w:val="005E775D"/>
    <w:rsid w:val="005F0A43"/>
    <w:rsid w:val="005F0C94"/>
    <w:rsid w:val="005F0EAF"/>
    <w:rsid w:val="005F27BF"/>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21B6"/>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A02"/>
    <w:rsid w:val="00607A2E"/>
    <w:rsid w:val="006101DF"/>
    <w:rsid w:val="00611055"/>
    <w:rsid w:val="00612BE4"/>
    <w:rsid w:val="006130F7"/>
    <w:rsid w:val="00613AF8"/>
    <w:rsid w:val="00613D8E"/>
    <w:rsid w:val="006142E0"/>
    <w:rsid w:val="006143C0"/>
    <w:rsid w:val="00615206"/>
    <w:rsid w:val="00615E74"/>
    <w:rsid w:val="00615F97"/>
    <w:rsid w:val="00616112"/>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660B"/>
    <w:rsid w:val="00626AD1"/>
    <w:rsid w:val="00626F83"/>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3037"/>
    <w:rsid w:val="00643660"/>
    <w:rsid w:val="00646E26"/>
    <w:rsid w:val="00650139"/>
    <w:rsid w:val="00650F80"/>
    <w:rsid w:val="00651100"/>
    <w:rsid w:val="00651B15"/>
    <w:rsid w:val="00651FD4"/>
    <w:rsid w:val="006521AC"/>
    <w:rsid w:val="00652756"/>
    <w:rsid w:val="00652A9F"/>
    <w:rsid w:val="00652AD8"/>
    <w:rsid w:val="00652B79"/>
    <w:rsid w:val="006533C3"/>
    <w:rsid w:val="00654068"/>
    <w:rsid w:val="00654B38"/>
    <w:rsid w:val="00654B83"/>
    <w:rsid w:val="00655061"/>
    <w:rsid w:val="0065510C"/>
    <w:rsid w:val="00655B63"/>
    <w:rsid w:val="00656057"/>
    <w:rsid w:val="006564E4"/>
    <w:rsid w:val="00656A5C"/>
    <w:rsid w:val="00656ECD"/>
    <w:rsid w:val="00656FDC"/>
    <w:rsid w:val="006571F6"/>
    <w:rsid w:val="00657FA0"/>
    <w:rsid w:val="006604D5"/>
    <w:rsid w:val="006618CC"/>
    <w:rsid w:val="00661DA1"/>
    <w:rsid w:val="00662111"/>
    <w:rsid w:val="00662118"/>
    <w:rsid w:val="006638AD"/>
    <w:rsid w:val="00663E55"/>
    <w:rsid w:val="006645DD"/>
    <w:rsid w:val="00666E4C"/>
    <w:rsid w:val="006671D4"/>
    <w:rsid w:val="0066732C"/>
    <w:rsid w:val="006679F5"/>
    <w:rsid w:val="00667B77"/>
    <w:rsid w:val="00671329"/>
    <w:rsid w:val="006716DA"/>
    <w:rsid w:val="006728ED"/>
    <w:rsid w:val="006732B1"/>
    <w:rsid w:val="006741CB"/>
    <w:rsid w:val="0067422E"/>
    <w:rsid w:val="0067446F"/>
    <w:rsid w:val="006746A4"/>
    <w:rsid w:val="00675122"/>
    <w:rsid w:val="00675558"/>
    <w:rsid w:val="00675611"/>
    <w:rsid w:val="00675A60"/>
    <w:rsid w:val="0067697E"/>
    <w:rsid w:val="00677304"/>
    <w:rsid w:val="00677443"/>
    <w:rsid w:val="00677583"/>
    <w:rsid w:val="0067769A"/>
    <w:rsid w:val="00677DFE"/>
    <w:rsid w:val="006806A3"/>
    <w:rsid w:val="006806A6"/>
    <w:rsid w:val="00680C80"/>
    <w:rsid w:val="00680F33"/>
    <w:rsid w:val="00681211"/>
    <w:rsid w:val="00681B36"/>
    <w:rsid w:val="00682040"/>
    <w:rsid w:val="00682E14"/>
    <w:rsid w:val="00683558"/>
    <w:rsid w:val="00683D9E"/>
    <w:rsid w:val="0068436C"/>
    <w:rsid w:val="0068545E"/>
    <w:rsid w:val="00685569"/>
    <w:rsid w:val="00685F03"/>
    <w:rsid w:val="00685FD4"/>
    <w:rsid w:val="006864D0"/>
    <w:rsid w:val="00686612"/>
    <w:rsid w:val="0068661E"/>
    <w:rsid w:val="0068697A"/>
    <w:rsid w:val="006871C5"/>
    <w:rsid w:val="0068784D"/>
    <w:rsid w:val="006879EF"/>
    <w:rsid w:val="00687ACB"/>
    <w:rsid w:val="00690A49"/>
    <w:rsid w:val="00690B16"/>
    <w:rsid w:val="00690BB6"/>
    <w:rsid w:val="006912EC"/>
    <w:rsid w:val="00691B30"/>
    <w:rsid w:val="006922E8"/>
    <w:rsid w:val="00693E1F"/>
    <w:rsid w:val="00693ECB"/>
    <w:rsid w:val="00694797"/>
    <w:rsid w:val="00695175"/>
    <w:rsid w:val="00695887"/>
    <w:rsid w:val="00695D8F"/>
    <w:rsid w:val="006962D4"/>
    <w:rsid w:val="00696E01"/>
    <w:rsid w:val="00697733"/>
    <w:rsid w:val="00697A3C"/>
    <w:rsid w:val="006A1911"/>
    <w:rsid w:val="006A1D8D"/>
    <w:rsid w:val="006A254E"/>
    <w:rsid w:val="006A2C30"/>
    <w:rsid w:val="006A301C"/>
    <w:rsid w:val="006A3525"/>
    <w:rsid w:val="006A3D71"/>
    <w:rsid w:val="006A3E2B"/>
    <w:rsid w:val="006A4224"/>
    <w:rsid w:val="006A454D"/>
    <w:rsid w:val="006A4E81"/>
    <w:rsid w:val="006A593F"/>
    <w:rsid w:val="006A5955"/>
    <w:rsid w:val="006A6C86"/>
    <w:rsid w:val="006A6E17"/>
    <w:rsid w:val="006A7264"/>
    <w:rsid w:val="006B0600"/>
    <w:rsid w:val="006B120D"/>
    <w:rsid w:val="006B17E7"/>
    <w:rsid w:val="006B19E8"/>
    <w:rsid w:val="006B1A8A"/>
    <w:rsid w:val="006B1FD5"/>
    <w:rsid w:val="006B3F58"/>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958"/>
    <w:rsid w:val="006C5A55"/>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0CE"/>
    <w:rsid w:val="006D3B2D"/>
    <w:rsid w:val="006D3BE1"/>
    <w:rsid w:val="006D48FC"/>
    <w:rsid w:val="006D62BC"/>
    <w:rsid w:val="006D6450"/>
    <w:rsid w:val="006D6939"/>
    <w:rsid w:val="006D7EB0"/>
    <w:rsid w:val="006E0138"/>
    <w:rsid w:val="006E017F"/>
    <w:rsid w:val="006E04E5"/>
    <w:rsid w:val="006E0587"/>
    <w:rsid w:val="006E0BB0"/>
    <w:rsid w:val="006E0CC3"/>
    <w:rsid w:val="006E12C3"/>
    <w:rsid w:val="006E1BF8"/>
    <w:rsid w:val="006E222C"/>
    <w:rsid w:val="006E2529"/>
    <w:rsid w:val="006E2C08"/>
    <w:rsid w:val="006E2D46"/>
    <w:rsid w:val="006E3FFE"/>
    <w:rsid w:val="006E45F3"/>
    <w:rsid w:val="006E4951"/>
    <w:rsid w:val="006E4A2F"/>
    <w:rsid w:val="006E4ED4"/>
    <w:rsid w:val="006E5E19"/>
    <w:rsid w:val="006E61C3"/>
    <w:rsid w:val="006E6490"/>
    <w:rsid w:val="006E7370"/>
    <w:rsid w:val="006E799D"/>
    <w:rsid w:val="006F0593"/>
    <w:rsid w:val="006F1064"/>
    <w:rsid w:val="006F1D8A"/>
    <w:rsid w:val="006F1EB7"/>
    <w:rsid w:val="006F272E"/>
    <w:rsid w:val="006F3327"/>
    <w:rsid w:val="006F464D"/>
    <w:rsid w:val="006F5132"/>
    <w:rsid w:val="006F52E5"/>
    <w:rsid w:val="006F6066"/>
    <w:rsid w:val="006F656E"/>
    <w:rsid w:val="006F6850"/>
    <w:rsid w:val="006F707E"/>
    <w:rsid w:val="00700136"/>
    <w:rsid w:val="007001DC"/>
    <w:rsid w:val="0070048C"/>
    <w:rsid w:val="00700527"/>
    <w:rsid w:val="00701ABA"/>
    <w:rsid w:val="00701BED"/>
    <w:rsid w:val="00702202"/>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837"/>
    <w:rsid w:val="007109C2"/>
    <w:rsid w:val="00710D1B"/>
    <w:rsid w:val="00711340"/>
    <w:rsid w:val="00711D7C"/>
    <w:rsid w:val="00712345"/>
    <w:rsid w:val="00712C42"/>
    <w:rsid w:val="00712F4E"/>
    <w:rsid w:val="00713446"/>
    <w:rsid w:val="0071362F"/>
    <w:rsid w:val="0071364C"/>
    <w:rsid w:val="007136D0"/>
    <w:rsid w:val="00713915"/>
    <w:rsid w:val="00713DE4"/>
    <w:rsid w:val="00714C47"/>
    <w:rsid w:val="00714C65"/>
    <w:rsid w:val="00715485"/>
    <w:rsid w:val="007157FB"/>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624"/>
    <w:rsid w:val="007329EF"/>
    <w:rsid w:val="00732B90"/>
    <w:rsid w:val="007330CD"/>
    <w:rsid w:val="0073327A"/>
    <w:rsid w:val="0073338C"/>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3AB0"/>
    <w:rsid w:val="00744181"/>
    <w:rsid w:val="00744A64"/>
    <w:rsid w:val="00744D47"/>
    <w:rsid w:val="00744EA0"/>
    <w:rsid w:val="0074638D"/>
    <w:rsid w:val="00746484"/>
    <w:rsid w:val="0074704F"/>
    <w:rsid w:val="0074772E"/>
    <w:rsid w:val="00747F48"/>
    <w:rsid w:val="00747F4C"/>
    <w:rsid w:val="00751091"/>
    <w:rsid w:val="00751467"/>
    <w:rsid w:val="007514B9"/>
    <w:rsid w:val="00751B83"/>
    <w:rsid w:val="0075210D"/>
    <w:rsid w:val="00752869"/>
    <w:rsid w:val="00752975"/>
    <w:rsid w:val="00752B1A"/>
    <w:rsid w:val="007539BC"/>
    <w:rsid w:val="00754359"/>
    <w:rsid w:val="00754411"/>
    <w:rsid w:val="00754BD9"/>
    <w:rsid w:val="00754E7A"/>
    <w:rsid w:val="0075540C"/>
    <w:rsid w:val="00755DB1"/>
    <w:rsid w:val="00756570"/>
    <w:rsid w:val="007573A2"/>
    <w:rsid w:val="007574FC"/>
    <w:rsid w:val="00757FA5"/>
    <w:rsid w:val="00760975"/>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24C8"/>
    <w:rsid w:val="00772BEF"/>
    <w:rsid w:val="00772F8A"/>
    <w:rsid w:val="007739C6"/>
    <w:rsid w:val="00774712"/>
    <w:rsid w:val="00774889"/>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90108"/>
    <w:rsid w:val="00790648"/>
    <w:rsid w:val="0079162F"/>
    <w:rsid w:val="0079262B"/>
    <w:rsid w:val="00792788"/>
    <w:rsid w:val="00792B63"/>
    <w:rsid w:val="00793790"/>
    <w:rsid w:val="007947BC"/>
    <w:rsid w:val="00794924"/>
    <w:rsid w:val="00796161"/>
    <w:rsid w:val="007A0BC2"/>
    <w:rsid w:val="007A11FA"/>
    <w:rsid w:val="007A122F"/>
    <w:rsid w:val="007A19EE"/>
    <w:rsid w:val="007A1F44"/>
    <w:rsid w:val="007A1FDA"/>
    <w:rsid w:val="007A23FF"/>
    <w:rsid w:val="007A2564"/>
    <w:rsid w:val="007A295B"/>
    <w:rsid w:val="007A3424"/>
    <w:rsid w:val="007A35EF"/>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E3A"/>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00D"/>
    <w:rsid w:val="007C045E"/>
    <w:rsid w:val="007C1896"/>
    <w:rsid w:val="007C18ED"/>
    <w:rsid w:val="007C19AD"/>
    <w:rsid w:val="007C3598"/>
    <w:rsid w:val="007C3FA8"/>
    <w:rsid w:val="007C3FBD"/>
    <w:rsid w:val="007C4F49"/>
    <w:rsid w:val="007C5F66"/>
    <w:rsid w:val="007C68DA"/>
    <w:rsid w:val="007C6C28"/>
    <w:rsid w:val="007C7F34"/>
    <w:rsid w:val="007D0336"/>
    <w:rsid w:val="007D0393"/>
    <w:rsid w:val="007D0CAB"/>
    <w:rsid w:val="007D0D3E"/>
    <w:rsid w:val="007D150A"/>
    <w:rsid w:val="007D15F0"/>
    <w:rsid w:val="007D1AB3"/>
    <w:rsid w:val="007D229A"/>
    <w:rsid w:val="007D2567"/>
    <w:rsid w:val="007D2B68"/>
    <w:rsid w:val="007D2E13"/>
    <w:rsid w:val="007D2F44"/>
    <w:rsid w:val="007D2F4D"/>
    <w:rsid w:val="007D3DAC"/>
    <w:rsid w:val="007D4178"/>
    <w:rsid w:val="007D4265"/>
    <w:rsid w:val="007D4C9C"/>
    <w:rsid w:val="007D4D33"/>
    <w:rsid w:val="007D55E1"/>
    <w:rsid w:val="007D7175"/>
    <w:rsid w:val="007D76A3"/>
    <w:rsid w:val="007D7F29"/>
    <w:rsid w:val="007E0F85"/>
    <w:rsid w:val="007E1369"/>
    <w:rsid w:val="007E13BC"/>
    <w:rsid w:val="007E1A1B"/>
    <w:rsid w:val="007E1A88"/>
    <w:rsid w:val="007E3A5C"/>
    <w:rsid w:val="007E3EE7"/>
    <w:rsid w:val="007E4467"/>
    <w:rsid w:val="007E4C88"/>
    <w:rsid w:val="007E4E99"/>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552"/>
    <w:rsid w:val="00803AC8"/>
    <w:rsid w:val="00804B61"/>
    <w:rsid w:val="00804B92"/>
    <w:rsid w:val="00804E21"/>
    <w:rsid w:val="00805092"/>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52C4"/>
    <w:rsid w:val="0081581D"/>
    <w:rsid w:val="0081623E"/>
    <w:rsid w:val="008172BE"/>
    <w:rsid w:val="008179D1"/>
    <w:rsid w:val="00817B71"/>
    <w:rsid w:val="0082000B"/>
    <w:rsid w:val="00820244"/>
    <w:rsid w:val="00820C8C"/>
    <w:rsid w:val="008221B3"/>
    <w:rsid w:val="0082248E"/>
    <w:rsid w:val="008227A9"/>
    <w:rsid w:val="0082371C"/>
    <w:rsid w:val="008238DF"/>
    <w:rsid w:val="00823BEE"/>
    <w:rsid w:val="00824327"/>
    <w:rsid w:val="00824FDF"/>
    <w:rsid w:val="00825108"/>
    <w:rsid w:val="00825125"/>
    <w:rsid w:val="008257CC"/>
    <w:rsid w:val="00826348"/>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34"/>
    <w:rsid w:val="00833DDE"/>
    <w:rsid w:val="00834B48"/>
    <w:rsid w:val="008357FB"/>
    <w:rsid w:val="00835812"/>
    <w:rsid w:val="008359E0"/>
    <w:rsid w:val="0083738E"/>
    <w:rsid w:val="00837658"/>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A24"/>
    <w:rsid w:val="00845C12"/>
    <w:rsid w:val="00846755"/>
    <w:rsid w:val="008469D9"/>
    <w:rsid w:val="00846DC0"/>
    <w:rsid w:val="008474A7"/>
    <w:rsid w:val="00850291"/>
    <w:rsid w:val="008502CD"/>
    <w:rsid w:val="008506B6"/>
    <w:rsid w:val="00850AE0"/>
    <w:rsid w:val="008524D2"/>
    <w:rsid w:val="00852E19"/>
    <w:rsid w:val="0085357B"/>
    <w:rsid w:val="008542D4"/>
    <w:rsid w:val="008559C7"/>
    <w:rsid w:val="00856833"/>
    <w:rsid w:val="00856840"/>
    <w:rsid w:val="00857932"/>
    <w:rsid w:val="00860407"/>
    <w:rsid w:val="0086087C"/>
    <w:rsid w:val="00860D8E"/>
    <w:rsid w:val="00862406"/>
    <w:rsid w:val="0086275E"/>
    <w:rsid w:val="008627F0"/>
    <w:rsid w:val="008642B2"/>
    <w:rsid w:val="0086443C"/>
    <w:rsid w:val="00864440"/>
    <w:rsid w:val="00864D76"/>
    <w:rsid w:val="008650FC"/>
    <w:rsid w:val="008656C1"/>
    <w:rsid w:val="00865797"/>
    <w:rsid w:val="0086617A"/>
    <w:rsid w:val="008667C5"/>
    <w:rsid w:val="00866EB3"/>
    <w:rsid w:val="0086701A"/>
    <w:rsid w:val="00867BD2"/>
    <w:rsid w:val="00867E96"/>
    <w:rsid w:val="00870886"/>
    <w:rsid w:val="008712FD"/>
    <w:rsid w:val="008716A1"/>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4879"/>
    <w:rsid w:val="008850AE"/>
    <w:rsid w:val="008862EE"/>
    <w:rsid w:val="00886894"/>
    <w:rsid w:val="00887318"/>
    <w:rsid w:val="00887B48"/>
    <w:rsid w:val="00887C41"/>
    <w:rsid w:val="008903E4"/>
    <w:rsid w:val="0089176E"/>
    <w:rsid w:val="008917E0"/>
    <w:rsid w:val="00892365"/>
    <w:rsid w:val="0089254E"/>
    <w:rsid w:val="00892BE5"/>
    <w:rsid w:val="0089306F"/>
    <w:rsid w:val="0089387C"/>
    <w:rsid w:val="00893BF0"/>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7285"/>
    <w:rsid w:val="008A73B2"/>
    <w:rsid w:val="008A7CFA"/>
    <w:rsid w:val="008B043F"/>
    <w:rsid w:val="008B0808"/>
    <w:rsid w:val="008B0AEC"/>
    <w:rsid w:val="008B0B05"/>
    <w:rsid w:val="008B1E53"/>
    <w:rsid w:val="008B1E5B"/>
    <w:rsid w:val="008B289C"/>
    <w:rsid w:val="008B2A76"/>
    <w:rsid w:val="008B2D5B"/>
    <w:rsid w:val="008B3224"/>
    <w:rsid w:val="008B3766"/>
    <w:rsid w:val="008B389D"/>
    <w:rsid w:val="008B3C5C"/>
    <w:rsid w:val="008B4F16"/>
    <w:rsid w:val="008B5299"/>
    <w:rsid w:val="008B5416"/>
    <w:rsid w:val="008B5A5F"/>
    <w:rsid w:val="008B5AB0"/>
    <w:rsid w:val="008B6054"/>
    <w:rsid w:val="008B66A0"/>
    <w:rsid w:val="008B7B08"/>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E3C"/>
    <w:rsid w:val="008C785E"/>
    <w:rsid w:val="008D08E4"/>
    <w:rsid w:val="008D0A52"/>
    <w:rsid w:val="008D0AFB"/>
    <w:rsid w:val="008D12F7"/>
    <w:rsid w:val="008D1511"/>
    <w:rsid w:val="008D19BB"/>
    <w:rsid w:val="008D1ABE"/>
    <w:rsid w:val="008D2441"/>
    <w:rsid w:val="008D32DF"/>
    <w:rsid w:val="008D35E9"/>
    <w:rsid w:val="008D3959"/>
    <w:rsid w:val="008D3966"/>
    <w:rsid w:val="008D3CF7"/>
    <w:rsid w:val="008D4352"/>
    <w:rsid w:val="008D530D"/>
    <w:rsid w:val="008D533C"/>
    <w:rsid w:val="008D5A35"/>
    <w:rsid w:val="008D60BC"/>
    <w:rsid w:val="008D6D7B"/>
    <w:rsid w:val="008D7EB7"/>
    <w:rsid w:val="008E0516"/>
    <w:rsid w:val="008E0B6C"/>
    <w:rsid w:val="008E0DB9"/>
    <w:rsid w:val="008E0DCF"/>
    <w:rsid w:val="008E0EB8"/>
    <w:rsid w:val="008E10A6"/>
    <w:rsid w:val="008E1271"/>
    <w:rsid w:val="008E15C7"/>
    <w:rsid w:val="008E2251"/>
    <w:rsid w:val="008E24B3"/>
    <w:rsid w:val="008E24CA"/>
    <w:rsid w:val="008E28C9"/>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D7"/>
    <w:rsid w:val="00902D49"/>
    <w:rsid w:val="00903802"/>
    <w:rsid w:val="0090512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612"/>
    <w:rsid w:val="0091366A"/>
    <w:rsid w:val="00913824"/>
    <w:rsid w:val="00913E50"/>
    <w:rsid w:val="00914CDC"/>
    <w:rsid w:val="00915757"/>
    <w:rsid w:val="009159B3"/>
    <w:rsid w:val="00916181"/>
    <w:rsid w:val="009161C3"/>
    <w:rsid w:val="0091762C"/>
    <w:rsid w:val="009204C5"/>
    <w:rsid w:val="00920986"/>
    <w:rsid w:val="00920B56"/>
    <w:rsid w:val="00920D87"/>
    <w:rsid w:val="00920EAF"/>
    <w:rsid w:val="00921013"/>
    <w:rsid w:val="0092180D"/>
    <w:rsid w:val="009226B4"/>
    <w:rsid w:val="009228B0"/>
    <w:rsid w:val="00922B06"/>
    <w:rsid w:val="00922B67"/>
    <w:rsid w:val="009232C9"/>
    <w:rsid w:val="00923608"/>
    <w:rsid w:val="00923847"/>
    <w:rsid w:val="009238E5"/>
    <w:rsid w:val="00923936"/>
    <w:rsid w:val="00923E87"/>
    <w:rsid w:val="00923F12"/>
    <w:rsid w:val="00924432"/>
    <w:rsid w:val="00924FF8"/>
    <w:rsid w:val="00925028"/>
    <w:rsid w:val="00925BA8"/>
    <w:rsid w:val="00925E42"/>
    <w:rsid w:val="00925F9D"/>
    <w:rsid w:val="00926068"/>
    <w:rsid w:val="00926618"/>
    <w:rsid w:val="00926DA7"/>
    <w:rsid w:val="00927F8B"/>
    <w:rsid w:val="00930859"/>
    <w:rsid w:val="0093094D"/>
    <w:rsid w:val="00930FD3"/>
    <w:rsid w:val="009312C4"/>
    <w:rsid w:val="00931651"/>
    <w:rsid w:val="009328C7"/>
    <w:rsid w:val="009336EC"/>
    <w:rsid w:val="00933C1C"/>
    <w:rsid w:val="00933F56"/>
    <w:rsid w:val="009341B1"/>
    <w:rsid w:val="0093448E"/>
    <w:rsid w:val="0093455A"/>
    <w:rsid w:val="00934582"/>
    <w:rsid w:val="00934C13"/>
    <w:rsid w:val="00935228"/>
    <w:rsid w:val="009355A2"/>
    <w:rsid w:val="009357E8"/>
    <w:rsid w:val="00935F9E"/>
    <w:rsid w:val="009364B6"/>
    <w:rsid w:val="0093651A"/>
    <w:rsid w:val="00936D98"/>
    <w:rsid w:val="00937442"/>
    <w:rsid w:val="009379DF"/>
    <w:rsid w:val="009414DC"/>
    <w:rsid w:val="00941E22"/>
    <w:rsid w:val="00942C80"/>
    <w:rsid w:val="00942DF9"/>
    <w:rsid w:val="00942E5B"/>
    <w:rsid w:val="00942FD9"/>
    <w:rsid w:val="00943197"/>
    <w:rsid w:val="009435F2"/>
    <w:rsid w:val="009438A5"/>
    <w:rsid w:val="00943BE0"/>
    <w:rsid w:val="009442A5"/>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80C"/>
    <w:rsid w:val="00953976"/>
    <w:rsid w:val="00954353"/>
    <w:rsid w:val="00955C0A"/>
    <w:rsid w:val="00955C4F"/>
    <w:rsid w:val="0095689E"/>
    <w:rsid w:val="00956DDB"/>
    <w:rsid w:val="00960DA1"/>
    <w:rsid w:val="00961ED2"/>
    <w:rsid w:val="0096257A"/>
    <w:rsid w:val="00962988"/>
    <w:rsid w:val="009633AA"/>
    <w:rsid w:val="00964ADB"/>
    <w:rsid w:val="009657F1"/>
    <w:rsid w:val="00965DE9"/>
    <w:rsid w:val="00965FD0"/>
    <w:rsid w:val="0096625D"/>
    <w:rsid w:val="009700F6"/>
    <w:rsid w:val="009709F8"/>
    <w:rsid w:val="0097258B"/>
    <w:rsid w:val="00972929"/>
    <w:rsid w:val="00972F91"/>
    <w:rsid w:val="00973827"/>
    <w:rsid w:val="00973991"/>
    <w:rsid w:val="009742D3"/>
    <w:rsid w:val="00975533"/>
    <w:rsid w:val="009756F7"/>
    <w:rsid w:val="0097626F"/>
    <w:rsid w:val="00976568"/>
    <w:rsid w:val="00977BA7"/>
    <w:rsid w:val="0098020A"/>
    <w:rsid w:val="00980517"/>
    <w:rsid w:val="0098116C"/>
    <w:rsid w:val="0098194F"/>
    <w:rsid w:val="00982463"/>
    <w:rsid w:val="009826C8"/>
    <w:rsid w:val="009836E4"/>
    <w:rsid w:val="0098412F"/>
    <w:rsid w:val="0098550D"/>
    <w:rsid w:val="00985F28"/>
    <w:rsid w:val="00986149"/>
    <w:rsid w:val="00986176"/>
    <w:rsid w:val="00986E7F"/>
    <w:rsid w:val="00986F9A"/>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910"/>
    <w:rsid w:val="009A09A5"/>
    <w:rsid w:val="009A0C6F"/>
    <w:rsid w:val="009A14EF"/>
    <w:rsid w:val="009A2DF9"/>
    <w:rsid w:val="009A3353"/>
    <w:rsid w:val="009A3518"/>
    <w:rsid w:val="009A3A86"/>
    <w:rsid w:val="009A3A8B"/>
    <w:rsid w:val="009A4869"/>
    <w:rsid w:val="009A5208"/>
    <w:rsid w:val="009A60EF"/>
    <w:rsid w:val="009A6A6B"/>
    <w:rsid w:val="009A77D2"/>
    <w:rsid w:val="009B1EF9"/>
    <w:rsid w:val="009B26AC"/>
    <w:rsid w:val="009B2991"/>
    <w:rsid w:val="009B2C1A"/>
    <w:rsid w:val="009B37E2"/>
    <w:rsid w:val="009B4519"/>
    <w:rsid w:val="009B4571"/>
    <w:rsid w:val="009B4A32"/>
    <w:rsid w:val="009B4F11"/>
    <w:rsid w:val="009B506B"/>
    <w:rsid w:val="009B57EF"/>
    <w:rsid w:val="009B5B85"/>
    <w:rsid w:val="009B5E0B"/>
    <w:rsid w:val="009B6BD3"/>
    <w:rsid w:val="009B6D6C"/>
    <w:rsid w:val="009B7204"/>
    <w:rsid w:val="009C0074"/>
    <w:rsid w:val="009C0564"/>
    <w:rsid w:val="009C16D9"/>
    <w:rsid w:val="009C1802"/>
    <w:rsid w:val="009C195B"/>
    <w:rsid w:val="009C2685"/>
    <w:rsid w:val="009C2EEC"/>
    <w:rsid w:val="009C356A"/>
    <w:rsid w:val="009C39BC"/>
    <w:rsid w:val="009C49B4"/>
    <w:rsid w:val="009C4BC2"/>
    <w:rsid w:val="009C4CC0"/>
    <w:rsid w:val="009C4D22"/>
    <w:rsid w:val="009C58A8"/>
    <w:rsid w:val="009C67C1"/>
    <w:rsid w:val="009C6F12"/>
    <w:rsid w:val="009C6F2B"/>
    <w:rsid w:val="009C7320"/>
    <w:rsid w:val="009C75E3"/>
    <w:rsid w:val="009D0198"/>
    <w:rsid w:val="009D0729"/>
    <w:rsid w:val="009D0B67"/>
    <w:rsid w:val="009D0EA3"/>
    <w:rsid w:val="009D0F66"/>
    <w:rsid w:val="009D18B3"/>
    <w:rsid w:val="009D1A06"/>
    <w:rsid w:val="009D1BA4"/>
    <w:rsid w:val="009D1BE3"/>
    <w:rsid w:val="009D1FC4"/>
    <w:rsid w:val="009D22E4"/>
    <w:rsid w:val="009D22F7"/>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33F3"/>
    <w:rsid w:val="009E3A1B"/>
    <w:rsid w:val="009E3AFD"/>
    <w:rsid w:val="009E3CDD"/>
    <w:rsid w:val="009E3D6C"/>
    <w:rsid w:val="009E4B16"/>
    <w:rsid w:val="009E4C1E"/>
    <w:rsid w:val="009E4D97"/>
    <w:rsid w:val="009E5C60"/>
    <w:rsid w:val="009E5C76"/>
    <w:rsid w:val="009E64DB"/>
    <w:rsid w:val="009E6794"/>
    <w:rsid w:val="009E7189"/>
    <w:rsid w:val="009E7E46"/>
    <w:rsid w:val="009E7F18"/>
    <w:rsid w:val="009E7FC1"/>
    <w:rsid w:val="009F01E1"/>
    <w:rsid w:val="009F0B4D"/>
    <w:rsid w:val="009F0F2C"/>
    <w:rsid w:val="009F1096"/>
    <w:rsid w:val="009F150E"/>
    <w:rsid w:val="009F1C4E"/>
    <w:rsid w:val="009F25B5"/>
    <w:rsid w:val="009F27AD"/>
    <w:rsid w:val="009F3FB5"/>
    <w:rsid w:val="009F474B"/>
    <w:rsid w:val="009F4A96"/>
    <w:rsid w:val="009F521F"/>
    <w:rsid w:val="009F553C"/>
    <w:rsid w:val="009F59F8"/>
    <w:rsid w:val="009F6097"/>
    <w:rsid w:val="00A005B0"/>
    <w:rsid w:val="00A01219"/>
    <w:rsid w:val="00A0140A"/>
    <w:rsid w:val="00A01F17"/>
    <w:rsid w:val="00A022A5"/>
    <w:rsid w:val="00A024D4"/>
    <w:rsid w:val="00A03A22"/>
    <w:rsid w:val="00A03E62"/>
    <w:rsid w:val="00A04634"/>
    <w:rsid w:val="00A04885"/>
    <w:rsid w:val="00A04AF6"/>
    <w:rsid w:val="00A0543B"/>
    <w:rsid w:val="00A0561D"/>
    <w:rsid w:val="00A05CF4"/>
    <w:rsid w:val="00A06119"/>
    <w:rsid w:val="00A06E38"/>
    <w:rsid w:val="00A07A48"/>
    <w:rsid w:val="00A108EE"/>
    <w:rsid w:val="00A10BB8"/>
    <w:rsid w:val="00A10DB3"/>
    <w:rsid w:val="00A113D0"/>
    <w:rsid w:val="00A1200D"/>
    <w:rsid w:val="00A1206E"/>
    <w:rsid w:val="00A12C74"/>
    <w:rsid w:val="00A135FC"/>
    <w:rsid w:val="00A137E4"/>
    <w:rsid w:val="00A13871"/>
    <w:rsid w:val="00A13DEE"/>
    <w:rsid w:val="00A14813"/>
    <w:rsid w:val="00A1566A"/>
    <w:rsid w:val="00A15BE7"/>
    <w:rsid w:val="00A15E15"/>
    <w:rsid w:val="00A165BF"/>
    <w:rsid w:val="00A169EC"/>
    <w:rsid w:val="00A16C22"/>
    <w:rsid w:val="00A17068"/>
    <w:rsid w:val="00A172E8"/>
    <w:rsid w:val="00A17963"/>
    <w:rsid w:val="00A179FF"/>
    <w:rsid w:val="00A204A6"/>
    <w:rsid w:val="00A20696"/>
    <w:rsid w:val="00A20E31"/>
    <w:rsid w:val="00A21673"/>
    <w:rsid w:val="00A21A36"/>
    <w:rsid w:val="00A22473"/>
    <w:rsid w:val="00A2317D"/>
    <w:rsid w:val="00A2437A"/>
    <w:rsid w:val="00A24CDC"/>
    <w:rsid w:val="00A24FA5"/>
    <w:rsid w:val="00A25294"/>
    <w:rsid w:val="00A254EE"/>
    <w:rsid w:val="00A25BE7"/>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D62"/>
    <w:rsid w:val="00A35434"/>
    <w:rsid w:val="00A35A69"/>
    <w:rsid w:val="00A3611D"/>
    <w:rsid w:val="00A36339"/>
    <w:rsid w:val="00A366E4"/>
    <w:rsid w:val="00A3675F"/>
    <w:rsid w:val="00A370D8"/>
    <w:rsid w:val="00A412CC"/>
    <w:rsid w:val="00A41C81"/>
    <w:rsid w:val="00A4376F"/>
    <w:rsid w:val="00A4503E"/>
    <w:rsid w:val="00A4504C"/>
    <w:rsid w:val="00A4515A"/>
    <w:rsid w:val="00A4534B"/>
    <w:rsid w:val="00A4549F"/>
    <w:rsid w:val="00A454B8"/>
    <w:rsid w:val="00A45B9B"/>
    <w:rsid w:val="00A460C7"/>
    <w:rsid w:val="00A462FE"/>
    <w:rsid w:val="00A46673"/>
    <w:rsid w:val="00A46916"/>
    <w:rsid w:val="00A5016F"/>
    <w:rsid w:val="00A501C9"/>
    <w:rsid w:val="00A50506"/>
    <w:rsid w:val="00A50A5E"/>
    <w:rsid w:val="00A50EDD"/>
    <w:rsid w:val="00A52A4C"/>
    <w:rsid w:val="00A5362B"/>
    <w:rsid w:val="00A53F55"/>
    <w:rsid w:val="00A5417B"/>
    <w:rsid w:val="00A54599"/>
    <w:rsid w:val="00A54B82"/>
    <w:rsid w:val="00A54E68"/>
    <w:rsid w:val="00A56759"/>
    <w:rsid w:val="00A569D4"/>
    <w:rsid w:val="00A57623"/>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942"/>
    <w:rsid w:val="00A653BF"/>
    <w:rsid w:val="00A65911"/>
    <w:rsid w:val="00A6643C"/>
    <w:rsid w:val="00A66464"/>
    <w:rsid w:val="00A66D9B"/>
    <w:rsid w:val="00A6707D"/>
    <w:rsid w:val="00A67544"/>
    <w:rsid w:val="00A705CE"/>
    <w:rsid w:val="00A7075B"/>
    <w:rsid w:val="00A70839"/>
    <w:rsid w:val="00A7170D"/>
    <w:rsid w:val="00A71CE6"/>
    <w:rsid w:val="00A71D23"/>
    <w:rsid w:val="00A71F22"/>
    <w:rsid w:val="00A72761"/>
    <w:rsid w:val="00A7333A"/>
    <w:rsid w:val="00A73A13"/>
    <w:rsid w:val="00A73D0D"/>
    <w:rsid w:val="00A74A92"/>
    <w:rsid w:val="00A75A01"/>
    <w:rsid w:val="00A75CC1"/>
    <w:rsid w:val="00A75E88"/>
    <w:rsid w:val="00A76678"/>
    <w:rsid w:val="00A772DF"/>
    <w:rsid w:val="00A775C7"/>
    <w:rsid w:val="00A779DB"/>
    <w:rsid w:val="00A80101"/>
    <w:rsid w:val="00A8056E"/>
    <w:rsid w:val="00A81C37"/>
    <w:rsid w:val="00A82D58"/>
    <w:rsid w:val="00A8321A"/>
    <w:rsid w:val="00A8399D"/>
    <w:rsid w:val="00A83E3D"/>
    <w:rsid w:val="00A8443A"/>
    <w:rsid w:val="00A8479C"/>
    <w:rsid w:val="00A84C20"/>
    <w:rsid w:val="00A8557B"/>
    <w:rsid w:val="00A85A05"/>
    <w:rsid w:val="00A86D63"/>
    <w:rsid w:val="00A8770E"/>
    <w:rsid w:val="00A87797"/>
    <w:rsid w:val="00A87959"/>
    <w:rsid w:val="00A87BF5"/>
    <w:rsid w:val="00A9020E"/>
    <w:rsid w:val="00A9055B"/>
    <w:rsid w:val="00A90900"/>
    <w:rsid w:val="00A90E72"/>
    <w:rsid w:val="00A92152"/>
    <w:rsid w:val="00A922A2"/>
    <w:rsid w:val="00A9255D"/>
    <w:rsid w:val="00A92561"/>
    <w:rsid w:val="00A92EA4"/>
    <w:rsid w:val="00A9327B"/>
    <w:rsid w:val="00A9332D"/>
    <w:rsid w:val="00A93657"/>
    <w:rsid w:val="00A93B69"/>
    <w:rsid w:val="00A94366"/>
    <w:rsid w:val="00A947F7"/>
    <w:rsid w:val="00A954A5"/>
    <w:rsid w:val="00A957E7"/>
    <w:rsid w:val="00A963C7"/>
    <w:rsid w:val="00A96714"/>
    <w:rsid w:val="00A97A8A"/>
    <w:rsid w:val="00AA09B7"/>
    <w:rsid w:val="00AA1626"/>
    <w:rsid w:val="00AA1C25"/>
    <w:rsid w:val="00AA36C4"/>
    <w:rsid w:val="00AA3CD1"/>
    <w:rsid w:val="00AA3DB7"/>
    <w:rsid w:val="00AA51F5"/>
    <w:rsid w:val="00AA5E3B"/>
    <w:rsid w:val="00AA62BB"/>
    <w:rsid w:val="00AA6884"/>
    <w:rsid w:val="00AA68B4"/>
    <w:rsid w:val="00AB0543"/>
    <w:rsid w:val="00AB0AC9"/>
    <w:rsid w:val="00AB185A"/>
    <w:rsid w:val="00AB188B"/>
    <w:rsid w:val="00AB18B4"/>
    <w:rsid w:val="00AB1BA7"/>
    <w:rsid w:val="00AB1E04"/>
    <w:rsid w:val="00AB1ED4"/>
    <w:rsid w:val="00AB27A9"/>
    <w:rsid w:val="00AB29CF"/>
    <w:rsid w:val="00AB2F5B"/>
    <w:rsid w:val="00AB3113"/>
    <w:rsid w:val="00AB348A"/>
    <w:rsid w:val="00AB3F38"/>
    <w:rsid w:val="00AB43EC"/>
    <w:rsid w:val="00AB4BF4"/>
    <w:rsid w:val="00AB4D37"/>
    <w:rsid w:val="00AB5ADF"/>
    <w:rsid w:val="00AB5BAE"/>
    <w:rsid w:val="00AB5C9A"/>
    <w:rsid w:val="00AB5DE1"/>
    <w:rsid w:val="00AB5E57"/>
    <w:rsid w:val="00AB69B2"/>
    <w:rsid w:val="00AB725F"/>
    <w:rsid w:val="00AC0705"/>
    <w:rsid w:val="00AC109B"/>
    <w:rsid w:val="00AC2291"/>
    <w:rsid w:val="00AC2D42"/>
    <w:rsid w:val="00AC3AE5"/>
    <w:rsid w:val="00AC48CA"/>
    <w:rsid w:val="00AC53D0"/>
    <w:rsid w:val="00AC6D57"/>
    <w:rsid w:val="00AC73B2"/>
    <w:rsid w:val="00AC74DA"/>
    <w:rsid w:val="00AC7A2B"/>
    <w:rsid w:val="00AC7C25"/>
    <w:rsid w:val="00AD0A51"/>
    <w:rsid w:val="00AD0B37"/>
    <w:rsid w:val="00AD11F7"/>
    <w:rsid w:val="00AD1600"/>
    <w:rsid w:val="00AD1DB7"/>
    <w:rsid w:val="00AD1EEC"/>
    <w:rsid w:val="00AD2852"/>
    <w:rsid w:val="00AD3147"/>
    <w:rsid w:val="00AD3208"/>
    <w:rsid w:val="00AD3976"/>
    <w:rsid w:val="00AD44B6"/>
    <w:rsid w:val="00AD48E8"/>
    <w:rsid w:val="00AD4D2A"/>
    <w:rsid w:val="00AD542F"/>
    <w:rsid w:val="00AD5F33"/>
    <w:rsid w:val="00AD68A1"/>
    <w:rsid w:val="00AD68CC"/>
    <w:rsid w:val="00AD6FC5"/>
    <w:rsid w:val="00AD71C5"/>
    <w:rsid w:val="00AD7305"/>
    <w:rsid w:val="00AD7E64"/>
    <w:rsid w:val="00AE0C56"/>
    <w:rsid w:val="00AE1183"/>
    <w:rsid w:val="00AE132F"/>
    <w:rsid w:val="00AE149E"/>
    <w:rsid w:val="00AE21E0"/>
    <w:rsid w:val="00AE22F2"/>
    <w:rsid w:val="00AE28D0"/>
    <w:rsid w:val="00AE29FC"/>
    <w:rsid w:val="00AE2ADE"/>
    <w:rsid w:val="00AE2B16"/>
    <w:rsid w:val="00AE2DCB"/>
    <w:rsid w:val="00AE2F3F"/>
    <w:rsid w:val="00AE3844"/>
    <w:rsid w:val="00AE3B4E"/>
    <w:rsid w:val="00AE540C"/>
    <w:rsid w:val="00AE58E7"/>
    <w:rsid w:val="00AE59EC"/>
    <w:rsid w:val="00AE602D"/>
    <w:rsid w:val="00AE62E1"/>
    <w:rsid w:val="00AE67B3"/>
    <w:rsid w:val="00AE6DE8"/>
    <w:rsid w:val="00AE7444"/>
    <w:rsid w:val="00AE7864"/>
    <w:rsid w:val="00AE7949"/>
    <w:rsid w:val="00AF01DE"/>
    <w:rsid w:val="00AF1970"/>
    <w:rsid w:val="00AF25D5"/>
    <w:rsid w:val="00AF2753"/>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E8B"/>
    <w:rsid w:val="00B040B2"/>
    <w:rsid w:val="00B04AAA"/>
    <w:rsid w:val="00B05B77"/>
    <w:rsid w:val="00B0728D"/>
    <w:rsid w:val="00B10558"/>
    <w:rsid w:val="00B10B8D"/>
    <w:rsid w:val="00B142B5"/>
    <w:rsid w:val="00B147F5"/>
    <w:rsid w:val="00B14A7B"/>
    <w:rsid w:val="00B156A9"/>
    <w:rsid w:val="00B15F83"/>
    <w:rsid w:val="00B160FF"/>
    <w:rsid w:val="00B16322"/>
    <w:rsid w:val="00B1662E"/>
    <w:rsid w:val="00B16A6F"/>
    <w:rsid w:val="00B16B4D"/>
    <w:rsid w:val="00B1708B"/>
    <w:rsid w:val="00B17755"/>
    <w:rsid w:val="00B17C06"/>
    <w:rsid w:val="00B17D7E"/>
    <w:rsid w:val="00B20634"/>
    <w:rsid w:val="00B22600"/>
    <w:rsid w:val="00B22C0D"/>
    <w:rsid w:val="00B230B1"/>
    <w:rsid w:val="00B23AF4"/>
    <w:rsid w:val="00B23C13"/>
    <w:rsid w:val="00B23C15"/>
    <w:rsid w:val="00B2419C"/>
    <w:rsid w:val="00B25274"/>
    <w:rsid w:val="00B25762"/>
    <w:rsid w:val="00B25B40"/>
    <w:rsid w:val="00B25FDE"/>
    <w:rsid w:val="00B26AB0"/>
    <w:rsid w:val="00B26AD2"/>
    <w:rsid w:val="00B26CA2"/>
    <w:rsid w:val="00B30B4E"/>
    <w:rsid w:val="00B30F48"/>
    <w:rsid w:val="00B31246"/>
    <w:rsid w:val="00B31481"/>
    <w:rsid w:val="00B32313"/>
    <w:rsid w:val="00B324CD"/>
    <w:rsid w:val="00B326FF"/>
    <w:rsid w:val="00B335C3"/>
    <w:rsid w:val="00B33D12"/>
    <w:rsid w:val="00B340AA"/>
    <w:rsid w:val="00B34A9F"/>
    <w:rsid w:val="00B34B80"/>
    <w:rsid w:val="00B34C94"/>
    <w:rsid w:val="00B350D9"/>
    <w:rsid w:val="00B35CDA"/>
    <w:rsid w:val="00B362D2"/>
    <w:rsid w:val="00B37594"/>
    <w:rsid w:val="00B37A0D"/>
    <w:rsid w:val="00B37D97"/>
    <w:rsid w:val="00B40187"/>
    <w:rsid w:val="00B41165"/>
    <w:rsid w:val="00B411BD"/>
    <w:rsid w:val="00B41559"/>
    <w:rsid w:val="00B418E8"/>
    <w:rsid w:val="00B42285"/>
    <w:rsid w:val="00B4274B"/>
    <w:rsid w:val="00B435B1"/>
    <w:rsid w:val="00B4367F"/>
    <w:rsid w:val="00B438BA"/>
    <w:rsid w:val="00B43EAD"/>
    <w:rsid w:val="00B44F99"/>
    <w:rsid w:val="00B45326"/>
    <w:rsid w:val="00B45655"/>
    <w:rsid w:val="00B45743"/>
    <w:rsid w:val="00B45876"/>
    <w:rsid w:val="00B458AD"/>
    <w:rsid w:val="00B45AD5"/>
    <w:rsid w:val="00B461D2"/>
    <w:rsid w:val="00B466FE"/>
    <w:rsid w:val="00B471A4"/>
    <w:rsid w:val="00B473F7"/>
    <w:rsid w:val="00B47949"/>
    <w:rsid w:val="00B47C08"/>
    <w:rsid w:val="00B51100"/>
    <w:rsid w:val="00B514D7"/>
    <w:rsid w:val="00B5153D"/>
    <w:rsid w:val="00B51542"/>
    <w:rsid w:val="00B515E8"/>
    <w:rsid w:val="00B51D1D"/>
    <w:rsid w:val="00B52323"/>
    <w:rsid w:val="00B5310E"/>
    <w:rsid w:val="00B54ACC"/>
    <w:rsid w:val="00B54AF4"/>
    <w:rsid w:val="00B54DCB"/>
    <w:rsid w:val="00B55A98"/>
    <w:rsid w:val="00B55AC2"/>
    <w:rsid w:val="00B560C9"/>
    <w:rsid w:val="00B56533"/>
    <w:rsid w:val="00B56650"/>
    <w:rsid w:val="00B56688"/>
    <w:rsid w:val="00B56CFC"/>
    <w:rsid w:val="00B56FA8"/>
    <w:rsid w:val="00B57777"/>
    <w:rsid w:val="00B57A17"/>
    <w:rsid w:val="00B60A2C"/>
    <w:rsid w:val="00B613EB"/>
    <w:rsid w:val="00B614E8"/>
    <w:rsid w:val="00B61BE2"/>
    <w:rsid w:val="00B6258D"/>
    <w:rsid w:val="00B6266F"/>
    <w:rsid w:val="00B62E0B"/>
    <w:rsid w:val="00B63C32"/>
    <w:rsid w:val="00B643B6"/>
    <w:rsid w:val="00B64434"/>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B9"/>
    <w:rsid w:val="00B919AD"/>
    <w:rsid w:val="00B91A2B"/>
    <w:rsid w:val="00B92A4E"/>
    <w:rsid w:val="00B93204"/>
    <w:rsid w:val="00B9346A"/>
    <w:rsid w:val="00B94E17"/>
    <w:rsid w:val="00B956B9"/>
    <w:rsid w:val="00B957FE"/>
    <w:rsid w:val="00B95ACB"/>
    <w:rsid w:val="00B95F02"/>
    <w:rsid w:val="00B96BEF"/>
    <w:rsid w:val="00B96FC0"/>
    <w:rsid w:val="00B97260"/>
    <w:rsid w:val="00B97A69"/>
    <w:rsid w:val="00BA0632"/>
    <w:rsid w:val="00BA0AAA"/>
    <w:rsid w:val="00BA0DFB"/>
    <w:rsid w:val="00BA2C6E"/>
    <w:rsid w:val="00BA2FEF"/>
    <w:rsid w:val="00BA34AE"/>
    <w:rsid w:val="00BA35BA"/>
    <w:rsid w:val="00BA3FA7"/>
    <w:rsid w:val="00BA4141"/>
    <w:rsid w:val="00BA46A7"/>
    <w:rsid w:val="00BA5322"/>
    <w:rsid w:val="00BA6C5F"/>
    <w:rsid w:val="00BA70EA"/>
    <w:rsid w:val="00BA7689"/>
    <w:rsid w:val="00BB0785"/>
    <w:rsid w:val="00BB0ADB"/>
    <w:rsid w:val="00BB1548"/>
    <w:rsid w:val="00BB1CE7"/>
    <w:rsid w:val="00BB2FD3"/>
    <w:rsid w:val="00BB2FDF"/>
    <w:rsid w:val="00BB2FFF"/>
    <w:rsid w:val="00BB35F2"/>
    <w:rsid w:val="00BB3F65"/>
    <w:rsid w:val="00BB3F96"/>
    <w:rsid w:val="00BB475A"/>
    <w:rsid w:val="00BB5920"/>
    <w:rsid w:val="00BB5FCB"/>
    <w:rsid w:val="00BB604B"/>
    <w:rsid w:val="00BB6A21"/>
    <w:rsid w:val="00BC00EC"/>
    <w:rsid w:val="00BC08C5"/>
    <w:rsid w:val="00BC09DD"/>
    <w:rsid w:val="00BC0EA1"/>
    <w:rsid w:val="00BC12FB"/>
    <w:rsid w:val="00BC1C3C"/>
    <w:rsid w:val="00BC247F"/>
    <w:rsid w:val="00BC307F"/>
    <w:rsid w:val="00BC3159"/>
    <w:rsid w:val="00BC31C7"/>
    <w:rsid w:val="00BC3257"/>
    <w:rsid w:val="00BC357A"/>
    <w:rsid w:val="00BC39DB"/>
    <w:rsid w:val="00BC3A32"/>
    <w:rsid w:val="00BC3B07"/>
    <w:rsid w:val="00BC46EF"/>
    <w:rsid w:val="00BC6FD6"/>
    <w:rsid w:val="00BC7449"/>
    <w:rsid w:val="00BD008E"/>
    <w:rsid w:val="00BD249A"/>
    <w:rsid w:val="00BD2AE1"/>
    <w:rsid w:val="00BD2E4B"/>
    <w:rsid w:val="00BD2F3B"/>
    <w:rsid w:val="00BD32BC"/>
    <w:rsid w:val="00BD3372"/>
    <w:rsid w:val="00BD3BEB"/>
    <w:rsid w:val="00BD410F"/>
    <w:rsid w:val="00BD4749"/>
    <w:rsid w:val="00BD4E8F"/>
    <w:rsid w:val="00BD50AA"/>
    <w:rsid w:val="00BD5135"/>
    <w:rsid w:val="00BD522C"/>
    <w:rsid w:val="00BD59D3"/>
    <w:rsid w:val="00BD7291"/>
    <w:rsid w:val="00BD7EA3"/>
    <w:rsid w:val="00BD7EEB"/>
    <w:rsid w:val="00BD7FE2"/>
    <w:rsid w:val="00BE0B19"/>
    <w:rsid w:val="00BE0DD8"/>
    <w:rsid w:val="00BE13F0"/>
    <w:rsid w:val="00BE15C1"/>
    <w:rsid w:val="00BE1D82"/>
    <w:rsid w:val="00BE1EE4"/>
    <w:rsid w:val="00BE1F8B"/>
    <w:rsid w:val="00BE2B4F"/>
    <w:rsid w:val="00BE2F39"/>
    <w:rsid w:val="00BE3227"/>
    <w:rsid w:val="00BE332D"/>
    <w:rsid w:val="00BE3578"/>
    <w:rsid w:val="00BE3582"/>
    <w:rsid w:val="00BE36E6"/>
    <w:rsid w:val="00BE3CF1"/>
    <w:rsid w:val="00BE4B20"/>
    <w:rsid w:val="00BE55F1"/>
    <w:rsid w:val="00BE5FC4"/>
    <w:rsid w:val="00BE68DB"/>
    <w:rsid w:val="00BE7742"/>
    <w:rsid w:val="00BE78DA"/>
    <w:rsid w:val="00BE7C4D"/>
    <w:rsid w:val="00BE7F6A"/>
    <w:rsid w:val="00BF0274"/>
    <w:rsid w:val="00BF08C4"/>
    <w:rsid w:val="00BF0BAF"/>
    <w:rsid w:val="00BF10FE"/>
    <w:rsid w:val="00BF19CE"/>
    <w:rsid w:val="00BF2B6F"/>
    <w:rsid w:val="00BF3220"/>
    <w:rsid w:val="00BF351A"/>
    <w:rsid w:val="00BF3914"/>
    <w:rsid w:val="00BF4151"/>
    <w:rsid w:val="00BF49B1"/>
    <w:rsid w:val="00BF4E43"/>
    <w:rsid w:val="00BF54A0"/>
    <w:rsid w:val="00BF5552"/>
    <w:rsid w:val="00BF6D36"/>
    <w:rsid w:val="00BF73F2"/>
    <w:rsid w:val="00BF7B3C"/>
    <w:rsid w:val="00C009A3"/>
    <w:rsid w:val="00C010E8"/>
    <w:rsid w:val="00C012CF"/>
    <w:rsid w:val="00C0164C"/>
    <w:rsid w:val="00C01671"/>
    <w:rsid w:val="00C020C3"/>
    <w:rsid w:val="00C02419"/>
    <w:rsid w:val="00C02766"/>
    <w:rsid w:val="00C03EE8"/>
    <w:rsid w:val="00C04535"/>
    <w:rsid w:val="00C0457A"/>
    <w:rsid w:val="00C05BEC"/>
    <w:rsid w:val="00C06E7D"/>
    <w:rsid w:val="00C07B8D"/>
    <w:rsid w:val="00C07DE5"/>
    <w:rsid w:val="00C10323"/>
    <w:rsid w:val="00C108B6"/>
    <w:rsid w:val="00C1112B"/>
    <w:rsid w:val="00C11A88"/>
    <w:rsid w:val="00C12012"/>
    <w:rsid w:val="00C12709"/>
    <w:rsid w:val="00C12874"/>
    <w:rsid w:val="00C12BC1"/>
    <w:rsid w:val="00C13BDA"/>
    <w:rsid w:val="00C13FFD"/>
    <w:rsid w:val="00C14632"/>
    <w:rsid w:val="00C15A86"/>
    <w:rsid w:val="00C15EDB"/>
    <w:rsid w:val="00C1606B"/>
    <w:rsid w:val="00C160F0"/>
    <w:rsid w:val="00C164C4"/>
    <w:rsid w:val="00C16C30"/>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63F"/>
    <w:rsid w:val="00C26A2B"/>
    <w:rsid w:val="00C26DB8"/>
    <w:rsid w:val="00C3400F"/>
    <w:rsid w:val="00C340C6"/>
    <w:rsid w:val="00C34B64"/>
    <w:rsid w:val="00C34C36"/>
    <w:rsid w:val="00C34C44"/>
    <w:rsid w:val="00C3513C"/>
    <w:rsid w:val="00C352B3"/>
    <w:rsid w:val="00C356BF"/>
    <w:rsid w:val="00C3654C"/>
    <w:rsid w:val="00C3684E"/>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4CDD"/>
    <w:rsid w:val="00C44F98"/>
    <w:rsid w:val="00C452F5"/>
    <w:rsid w:val="00C46555"/>
    <w:rsid w:val="00C46B15"/>
    <w:rsid w:val="00C46F7D"/>
    <w:rsid w:val="00C479B5"/>
    <w:rsid w:val="00C47B60"/>
    <w:rsid w:val="00C47BA1"/>
    <w:rsid w:val="00C50242"/>
    <w:rsid w:val="00C5034D"/>
    <w:rsid w:val="00C5050E"/>
    <w:rsid w:val="00C50E99"/>
    <w:rsid w:val="00C52744"/>
    <w:rsid w:val="00C531EB"/>
    <w:rsid w:val="00C53ADE"/>
    <w:rsid w:val="00C53EB3"/>
    <w:rsid w:val="00C53FC9"/>
    <w:rsid w:val="00C542CA"/>
    <w:rsid w:val="00C542D4"/>
    <w:rsid w:val="00C54D71"/>
    <w:rsid w:val="00C55B01"/>
    <w:rsid w:val="00C563F5"/>
    <w:rsid w:val="00C56498"/>
    <w:rsid w:val="00C56D23"/>
    <w:rsid w:val="00C570F7"/>
    <w:rsid w:val="00C6027B"/>
    <w:rsid w:val="00C6097A"/>
    <w:rsid w:val="00C60E61"/>
    <w:rsid w:val="00C61062"/>
    <w:rsid w:val="00C61799"/>
    <w:rsid w:val="00C623FE"/>
    <w:rsid w:val="00C62810"/>
    <w:rsid w:val="00C62BD4"/>
    <w:rsid w:val="00C62CD5"/>
    <w:rsid w:val="00C62FB9"/>
    <w:rsid w:val="00C636E6"/>
    <w:rsid w:val="00C639D6"/>
    <w:rsid w:val="00C63F16"/>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3B4F"/>
    <w:rsid w:val="00C74027"/>
    <w:rsid w:val="00C74811"/>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646D"/>
    <w:rsid w:val="00C86A62"/>
    <w:rsid w:val="00C86FEE"/>
    <w:rsid w:val="00C87455"/>
    <w:rsid w:val="00C900CD"/>
    <w:rsid w:val="00C90B92"/>
    <w:rsid w:val="00C913CA"/>
    <w:rsid w:val="00C91C13"/>
    <w:rsid w:val="00C91DE3"/>
    <w:rsid w:val="00C923AF"/>
    <w:rsid w:val="00C92C7F"/>
    <w:rsid w:val="00C9330E"/>
    <w:rsid w:val="00C9369D"/>
    <w:rsid w:val="00C93B84"/>
    <w:rsid w:val="00C944FA"/>
    <w:rsid w:val="00C949D3"/>
    <w:rsid w:val="00C94A9D"/>
    <w:rsid w:val="00C9535A"/>
    <w:rsid w:val="00C95854"/>
    <w:rsid w:val="00C95861"/>
    <w:rsid w:val="00C95EFF"/>
    <w:rsid w:val="00C96E6F"/>
    <w:rsid w:val="00C96E9B"/>
    <w:rsid w:val="00C970AA"/>
    <w:rsid w:val="00C97872"/>
    <w:rsid w:val="00CA0532"/>
    <w:rsid w:val="00CA0566"/>
    <w:rsid w:val="00CA0C22"/>
    <w:rsid w:val="00CA13AF"/>
    <w:rsid w:val="00CA17D9"/>
    <w:rsid w:val="00CA21E6"/>
    <w:rsid w:val="00CA2241"/>
    <w:rsid w:val="00CA27FD"/>
    <w:rsid w:val="00CA304A"/>
    <w:rsid w:val="00CA3259"/>
    <w:rsid w:val="00CA34AF"/>
    <w:rsid w:val="00CA35D0"/>
    <w:rsid w:val="00CA3970"/>
    <w:rsid w:val="00CA3CDD"/>
    <w:rsid w:val="00CA403B"/>
    <w:rsid w:val="00CA418B"/>
    <w:rsid w:val="00CA4F50"/>
    <w:rsid w:val="00CA505A"/>
    <w:rsid w:val="00CA59DD"/>
    <w:rsid w:val="00CA7198"/>
    <w:rsid w:val="00CA7937"/>
    <w:rsid w:val="00CB008E"/>
    <w:rsid w:val="00CB01FA"/>
    <w:rsid w:val="00CB0737"/>
    <w:rsid w:val="00CB097A"/>
    <w:rsid w:val="00CB26EC"/>
    <w:rsid w:val="00CB2C6D"/>
    <w:rsid w:val="00CB2D2A"/>
    <w:rsid w:val="00CB329A"/>
    <w:rsid w:val="00CB430F"/>
    <w:rsid w:val="00CB53F3"/>
    <w:rsid w:val="00CB5B1E"/>
    <w:rsid w:val="00CB683C"/>
    <w:rsid w:val="00CB7346"/>
    <w:rsid w:val="00CB787A"/>
    <w:rsid w:val="00CB7B01"/>
    <w:rsid w:val="00CC0C4A"/>
    <w:rsid w:val="00CC0C7E"/>
    <w:rsid w:val="00CC17F0"/>
    <w:rsid w:val="00CC1853"/>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F5D"/>
    <w:rsid w:val="00CD1857"/>
    <w:rsid w:val="00CD199E"/>
    <w:rsid w:val="00CD1C0B"/>
    <w:rsid w:val="00CD239A"/>
    <w:rsid w:val="00CD262E"/>
    <w:rsid w:val="00CD2E36"/>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643C"/>
    <w:rsid w:val="00CE78AE"/>
    <w:rsid w:val="00CE7AD3"/>
    <w:rsid w:val="00CE7E62"/>
    <w:rsid w:val="00CF051E"/>
    <w:rsid w:val="00CF195E"/>
    <w:rsid w:val="00CF19DA"/>
    <w:rsid w:val="00CF1C7F"/>
    <w:rsid w:val="00CF1CC0"/>
    <w:rsid w:val="00CF24F8"/>
    <w:rsid w:val="00CF2653"/>
    <w:rsid w:val="00CF33FC"/>
    <w:rsid w:val="00CF4247"/>
    <w:rsid w:val="00CF4946"/>
    <w:rsid w:val="00CF5263"/>
    <w:rsid w:val="00CF589F"/>
    <w:rsid w:val="00CF60B5"/>
    <w:rsid w:val="00CF7133"/>
    <w:rsid w:val="00CF714B"/>
    <w:rsid w:val="00CF7EDC"/>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2E39"/>
    <w:rsid w:val="00D13C14"/>
    <w:rsid w:val="00D13CBD"/>
    <w:rsid w:val="00D14236"/>
    <w:rsid w:val="00D14553"/>
    <w:rsid w:val="00D14DB1"/>
    <w:rsid w:val="00D15F43"/>
    <w:rsid w:val="00D161A5"/>
    <w:rsid w:val="00D166B3"/>
    <w:rsid w:val="00D16E87"/>
    <w:rsid w:val="00D17868"/>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F48"/>
    <w:rsid w:val="00D302FD"/>
    <w:rsid w:val="00D3038A"/>
    <w:rsid w:val="00D30522"/>
    <w:rsid w:val="00D3098D"/>
    <w:rsid w:val="00D30D4B"/>
    <w:rsid w:val="00D31749"/>
    <w:rsid w:val="00D31A02"/>
    <w:rsid w:val="00D32BA0"/>
    <w:rsid w:val="00D3323C"/>
    <w:rsid w:val="00D33456"/>
    <w:rsid w:val="00D3396F"/>
    <w:rsid w:val="00D33D4D"/>
    <w:rsid w:val="00D34A0B"/>
    <w:rsid w:val="00D34A97"/>
    <w:rsid w:val="00D3538E"/>
    <w:rsid w:val="00D36234"/>
    <w:rsid w:val="00D36354"/>
    <w:rsid w:val="00D36371"/>
    <w:rsid w:val="00D3675D"/>
    <w:rsid w:val="00D36DFA"/>
    <w:rsid w:val="00D37190"/>
    <w:rsid w:val="00D375C4"/>
    <w:rsid w:val="00D37675"/>
    <w:rsid w:val="00D40F6F"/>
    <w:rsid w:val="00D411B3"/>
    <w:rsid w:val="00D41302"/>
    <w:rsid w:val="00D417DF"/>
    <w:rsid w:val="00D430EE"/>
    <w:rsid w:val="00D43181"/>
    <w:rsid w:val="00D437D8"/>
    <w:rsid w:val="00D44944"/>
    <w:rsid w:val="00D44994"/>
    <w:rsid w:val="00D45553"/>
    <w:rsid w:val="00D45DF3"/>
    <w:rsid w:val="00D46174"/>
    <w:rsid w:val="00D47A1D"/>
    <w:rsid w:val="00D47DD0"/>
    <w:rsid w:val="00D50183"/>
    <w:rsid w:val="00D50F65"/>
    <w:rsid w:val="00D51D12"/>
    <w:rsid w:val="00D525F7"/>
    <w:rsid w:val="00D5362B"/>
    <w:rsid w:val="00D53722"/>
    <w:rsid w:val="00D53D6B"/>
    <w:rsid w:val="00D55072"/>
    <w:rsid w:val="00D551B5"/>
    <w:rsid w:val="00D555B3"/>
    <w:rsid w:val="00D5566A"/>
    <w:rsid w:val="00D566DE"/>
    <w:rsid w:val="00D56C2E"/>
    <w:rsid w:val="00D56DB2"/>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517"/>
    <w:rsid w:val="00D63B75"/>
    <w:rsid w:val="00D63B89"/>
    <w:rsid w:val="00D63F3C"/>
    <w:rsid w:val="00D644A4"/>
    <w:rsid w:val="00D64FD4"/>
    <w:rsid w:val="00D656EE"/>
    <w:rsid w:val="00D6584E"/>
    <w:rsid w:val="00D659B1"/>
    <w:rsid w:val="00D66B82"/>
    <w:rsid w:val="00D66C78"/>
    <w:rsid w:val="00D66E18"/>
    <w:rsid w:val="00D6734D"/>
    <w:rsid w:val="00D67761"/>
    <w:rsid w:val="00D679CF"/>
    <w:rsid w:val="00D679D3"/>
    <w:rsid w:val="00D70CC3"/>
    <w:rsid w:val="00D71F46"/>
    <w:rsid w:val="00D71FE4"/>
    <w:rsid w:val="00D731FA"/>
    <w:rsid w:val="00D7356F"/>
    <w:rsid w:val="00D73587"/>
    <w:rsid w:val="00D7361F"/>
    <w:rsid w:val="00D73EBB"/>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A0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683C"/>
    <w:rsid w:val="00D96C48"/>
    <w:rsid w:val="00D975C1"/>
    <w:rsid w:val="00D97884"/>
    <w:rsid w:val="00DA0845"/>
    <w:rsid w:val="00DA0A7F"/>
    <w:rsid w:val="00DA11D7"/>
    <w:rsid w:val="00DA16E4"/>
    <w:rsid w:val="00DA1C31"/>
    <w:rsid w:val="00DA20BC"/>
    <w:rsid w:val="00DA2ED7"/>
    <w:rsid w:val="00DA31B6"/>
    <w:rsid w:val="00DA3E7A"/>
    <w:rsid w:val="00DA430C"/>
    <w:rsid w:val="00DA465B"/>
    <w:rsid w:val="00DA4DD5"/>
    <w:rsid w:val="00DA5C9F"/>
    <w:rsid w:val="00DA615D"/>
    <w:rsid w:val="00DA6598"/>
    <w:rsid w:val="00DA6C0F"/>
    <w:rsid w:val="00DA702F"/>
    <w:rsid w:val="00DA70EB"/>
    <w:rsid w:val="00DA7D4C"/>
    <w:rsid w:val="00DA7F8A"/>
    <w:rsid w:val="00DB0176"/>
    <w:rsid w:val="00DB0404"/>
    <w:rsid w:val="00DB0AF7"/>
    <w:rsid w:val="00DB0D77"/>
    <w:rsid w:val="00DB11F8"/>
    <w:rsid w:val="00DB18F8"/>
    <w:rsid w:val="00DB1AE5"/>
    <w:rsid w:val="00DB1F2A"/>
    <w:rsid w:val="00DB26D2"/>
    <w:rsid w:val="00DB297F"/>
    <w:rsid w:val="00DB2B61"/>
    <w:rsid w:val="00DB3153"/>
    <w:rsid w:val="00DB317A"/>
    <w:rsid w:val="00DB3704"/>
    <w:rsid w:val="00DB3B82"/>
    <w:rsid w:val="00DB3F0B"/>
    <w:rsid w:val="00DB485D"/>
    <w:rsid w:val="00DB5932"/>
    <w:rsid w:val="00DB6169"/>
    <w:rsid w:val="00DB6E09"/>
    <w:rsid w:val="00DB6FCD"/>
    <w:rsid w:val="00DB6FF5"/>
    <w:rsid w:val="00DB7BF5"/>
    <w:rsid w:val="00DC0052"/>
    <w:rsid w:val="00DC079B"/>
    <w:rsid w:val="00DC1070"/>
    <w:rsid w:val="00DC1327"/>
    <w:rsid w:val="00DC1350"/>
    <w:rsid w:val="00DC148D"/>
    <w:rsid w:val="00DC1A7C"/>
    <w:rsid w:val="00DC2E02"/>
    <w:rsid w:val="00DC3237"/>
    <w:rsid w:val="00DC41A4"/>
    <w:rsid w:val="00DC5672"/>
    <w:rsid w:val="00DC60A2"/>
    <w:rsid w:val="00DC60CF"/>
    <w:rsid w:val="00DC6436"/>
    <w:rsid w:val="00DC6600"/>
    <w:rsid w:val="00DC67BD"/>
    <w:rsid w:val="00DC6924"/>
    <w:rsid w:val="00DC6C2F"/>
    <w:rsid w:val="00DC71F2"/>
    <w:rsid w:val="00DD1B7A"/>
    <w:rsid w:val="00DD2025"/>
    <w:rsid w:val="00DD22EA"/>
    <w:rsid w:val="00DD23A0"/>
    <w:rsid w:val="00DD3143"/>
    <w:rsid w:val="00DD3EF5"/>
    <w:rsid w:val="00DD4122"/>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705"/>
    <w:rsid w:val="00DE5CA4"/>
    <w:rsid w:val="00DE6530"/>
    <w:rsid w:val="00DE7109"/>
    <w:rsid w:val="00DE7C00"/>
    <w:rsid w:val="00DF0048"/>
    <w:rsid w:val="00DF03E9"/>
    <w:rsid w:val="00DF03ED"/>
    <w:rsid w:val="00DF04EE"/>
    <w:rsid w:val="00DF0BF4"/>
    <w:rsid w:val="00DF179D"/>
    <w:rsid w:val="00DF1D0A"/>
    <w:rsid w:val="00DF1E9C"/>
    <w:rsid w:val="00DF30BF"/>
    <w:rsid w:val="00DF35CB"/>
    <w:rsid w:val="00DF37A5"/>
    <w:rsid w:val="00DF3ACF"/>
    <w:rsid w:val="00DF4398"/>
    <w:rsid w:val="00DF4572"/>
    <w:rsid w:val="00DF4658"/>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0F5"/>
    <w:rsid w:val="00E03321"/>
    <w:rsid w:val="00E04022"/>
    <w:rsid w:val="00E041E5"/>
    <w:rsid w:val="00E04930"/>
    <w:rsid w:val="00E05C31"/>
    <w:rsid w:val="00E06C76"/>
    <w:rsid w:val="00E0728F"/>
    <w:rsid w:val="00E0755C"/>
    <w:rsid w:val="00E11923"/>
    <w:rsid w:val="00E125D6"/>
    <w:rsid w:val="00E12F5F"/>
    <w:rsid w:val="00E14A7E"/>
    <w:rsid w:val="00E14D01"/>
    <w:rsid w:val="00E151E1"/>
    <w:rsid w:val="00E16541"/>
    <w:rsid w:val="00E16D35"/>
    <w:rsid w:val="00E17619"/>
    <w:rsid w:val="00E17805"/>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F89"/>
    <w:rsid w:val="00E26150"/>
    <w:rsid w:val="00E30082"/>
    <w:rsid w:val="00E30E45"/>
    <w:rsid w:val="00E31492"/>
    <w:rsid w:val="00E32138"/>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533A"/>
    <w:rsid w:val="00E56A27"/>
    <w:rsid w:val="00E5733D"/>
    <w:rsid w:val="00E60735"/>
    <w:rsid w:val="00E60A88"/>
    <w:rsid w:val="00E60A8F"/>
    <w:rsid w:val="00E61CC0"/>
    <w:rsid w:val="00E6277B"/>
    <w:rsid w:val="00E63554"/>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CC0"/>
    <w:rsid w:val="00E70FBC"/>
    <w:rsid w:val="00E71157"/>
    <w:rsid w:val="00E728B4"/>
    <w:rsid w:val="00E72C01"/>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519F"/>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04"/>
    <w:rsid w:val="00E93E19"/>
    <w:rsid w:val="00E9441F"/>
    <w:rsid w:val="00E949DF"/>
    <w:rsid w:val="00E94D74"/>
    <w:rsid w:val="00E95BA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5BC"/>
    <w:rsid w:val="00EB19E9"/>
    <w:rsid w:val="00EB1B27"/>
    <w:rsid w:val="00EB1DA8"/>
    <w:rsid w:val="00EB35AC"/>
    <w:rsid w:val="00EB3B5C"/>
    <w:rsid w:val="00EB3E96"/>
    <w:rsid w:val="00EB4CFF"/>
    <w:rsid w:val="00EB4E9C"/>
    <w:rsid w:val="00EB5476"/>
    <w:rsid w:val="00EB5F64"/>
    <w:rsid w:val="00EB68BF"/>
    <w:rsid w:val="00EB6FFF"/>
    <w:rsid w:val="00EB70B0"/>
    <w:rsid w:val="00EB7633"/>
    <w:rsid w:val="00EB7736"/>
    <w:rsid w:val="00EC0454"/>
    <w:rsid w:val="00EC06B4"/>
    <w:rsid w:val="00EC10F3"/>
    <w:rsid w:val="00EC1279"/>
    <w:rsid w:val="00EC13D3"/>
    <w:rsid w:val="00EC1BE5"/>
    <w:rsid w:val="00EC2B6D"/>
    <w:rsid w:val="00EC2C3D"/>
    <w:rsid w:val="00EC2E2D"/>
    <w:rsid w:val="00EC3B9A"/>
    <w:rsid w:val="00EC3F5D"/>
    <w:rsid w:val="00EC462B"/>
    <w:rsid w:val="00EC4723"/>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70F1"/>
    <w:rsid w:val="00ED71C5"/>
    <w:rsid w:val="00EE068B"/>
    <w:rsid w:val="00EE16FA"/>
    <w:rsid w:val="00EE1FEC"/>
    <w:rsid w:val="00EE2DB2"/>
    <w:rsid w:val="00EE2FCD"/>
    <w:rsid w:val="00EE33BF"/>
    <w:rsid w:val="00EE3C42"/>
    <w:rsid w:val="00EE3D4F"/>
    <w:rsid w:val="00EE4720"/>
    <w:rsid w:val="00EE534D"/>
    <w:rsid w:val="00EE5560"/>
    <w:rsid w:val="00EE65B6"/>
    <w:rsid w:val="00EE69F4"/>
    <w:rsid w:val="00EE6F1E"/>
    <w:rsid w:val="00EE706A"/>
    <w:rsid w:val="00EF0348"/>
    <w:rsid w:val="00EF13B2"/>
    <w:rsid w:val="00EF1A1B"/>
    <w:rsid w:val="00EF1F9C"/>
    <w:rsid w:val="00EF38F0"/>
    <w:rsid w:val="00EF3ABC"/>
    <w:rsid w:val="00EF40EF"/>
    <w:rsid w:val="00EF4366"/>
    <w:rsid w:val="00EF4422"/>
    <w:rsid w:val="00EF4654"/>
    <w:rsid w:val="00EF4CD6"/>
    <w:rsid w:val="00EF4F67"/>
    <w:rsid w:val="00EF55A0"/>
    <w:rsid w:val="00EF63D1"/>
    <w:rsid w:val="00EF6513"/>
    <w:rsid w:val="00EF661D"/>
    <w:rsid w:val="00EF6683"/>
    <w:rsid w:val="00EF6DDF"/>
    <w:rsid w:val="00EF7002"/>
    <w:rsid w:val="00EF769B"/>
    <w:rsid w:val="00EF77E1"/>
    <w:rsid w:val="00F005BD"/>
    <w:rsid w:val="00F006B2"/>
    <w:rsid w:val="00F0133C"/>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4C3"/>
    <w:rsid w:val="00F12E0C"/>
    <w:rsid w:val="00F133A1"/>
    <w:rsid w:val="00F13ECD"/>
    <w:rsid w:val="00F1475D"/>
    <w:rsid w:val="00F14F2D"/>
    <w:rsid w:val="00F14F9A"/>
    <w:rsid w:val="00F155CE"/>
    <w:rsid w:val="00F16190"/>
    <w:rsid w:val="00F16BF2"/>
    <w:rsid w:val="00F17AFE"/>
    <w:rsid w:val="00F17DD1"/>
    <w:rsid w:val="00F17EAE"/>
    <w:rsid w:val="00F21560"/>
    <w:rsid w:val="00F21625"/>
    <w:rsid w:val="00F218D4"/>
    <w:rsid w:val="00F22122"/>
    <w:rsid w:val="00F22127"/>
    <w:rsid w:val="00F2250A"/>
    <w:rsid w:val="00F232EE"/>
    <w:rsid w:val="00F244A7"/>
    <w:rsid w:val="00F24788"/>
    <w:rsid w:val="00F24B19"/>
    <w:rsid w:val="00F251F3"/>
    <w:rsid w:val="00F262C6"/>
    <w:rsid w:val="00F2640F"/>
    <w:rsid w:val="00F27C34"/>
    <w:rsid w:val="00F27E46"/>
    <w:rsid w:val="00F301C2"/>
    <w:rsid w:val="00F302E1"/>
    <w:rsid w:val="00F30C22"/>
    <w:rsid w:val="00F30FCD"/>
    <w:rsid w:val="00F31211"/>
    <w:rsid w:val="00F31B22"/>
    <w:rsid w:val="00F31B49"/>
    <w:rsid w:val="00F31B8A"/>
    <w:rsid w:val="00F3233B"/>
    <w:rsid w:val="00F32F56"/>
    <w:rsid w:val="00F33D4F"/>
    <w:rsid w:val="00F34CD6"/>
    <w:rsid w:val="00F35501"/>
    <w:rsid w:val="00F35873"/>
    <w:rsid w:val="00F35920"/>
    <w:rsid w:val="00F3654C"/>
    <w:rsid w:val="00F366A5"/>
    <w:rsid w:val="00F36C5F"/>
    <w:rsid w:val="00F36C7D"/>
    <w:rsid w:val="00F36EE3"/>
    <w:rsid w:val="00F37259"/>
    <w:rsid w:val="00F3783B"/>
    <w:rsid w:val="00F37CD4"/>
    <w:rsid w:val="00F37CDB"/>
    <w:rsid w:val="00F40176"/>
    <w:rsid w:val="00F405A4"/>
    <w:rsid w:val="00F40E26"/>
    <w:rsid w:val="00F41260"/>
    <w:rsid w:val="00F41747"/>
    <w:rsid w:val="00F417A8"/>
    <w:rsid w:val="00F41893"/>
    <w:rsid w:val="00F41F05"/>
    <w:rsid w:val="00F42463"/>
    <w:rsid w:val="00F433BD"/>
    <w:rsid w:val="00F43FFA"/>
    <w:rsid w:val="00F44DD3"/>
    <w:rsid w:val="00F44EC5"/>
    <w:rsid w:val="00F460C6"/>
    <w:rsid w:val="00F46865"/>
    <w:rsid w:val="00F4729F"/>
    <w:rsid w:val="00F47498"/>
    <w:rsid w:val="00F506A0"/>
    <w:rsid w:val="00F507C4"/>
    <w:rsid w:val="00F512B2"/>
    <w:rsid w:val="00F5283D"/>
    <w:rsid w:val="00F52ABA"/>
    <w:rsid w:val="00F52BC7"/>
    <w:rsid w:val="00F530BB"/>
    <w:rsid w:val="00F53BF4"/>
    <w:rsid w:val="00F54266"/>
    <w:rsid w:val="00F55043"/>
    <w:rsid w:val="00F56DCF"/>
    <w:rsid w:val="00F57034"/>
    <w:rsid w:val="00F579DE"/>
    <w:rsid w:val="00F57B41"/>
    <w:rsid w:val="00F6056B"/>
    <w:rsid w:val="00F60BE9"/>
    <w:rsid w:val="00F61AE6"/>
    <w:rsid w:val="00F61FD8"/>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302F"/>
    <w:rsid w:val="00F732EC"/>
    <w:rsid w:val="00F73D08"/>
    <w:rsid w:val="00F752C4"/>
    <w:rsid w:val="00F7586B"/>
    <w:rsid w:val="00F75912"/>
    <w:rsid w:val="00F75BA0"/>
    <w:rsid w:val="00F75F2F"/>
    <w:rsid w:val="00F76445"/>
    <w:rsid w:val="00F76ECC"/>
    <w:rsid w:val="00F76F75"/>
    <w:rsid w:val="00F77C21"/>
    <w:rsid w:val="00F77C64"/>
    <w:rsid w:val="00F77ED2"/>
    <w:rsid w:val="00F80399"/>
    <w:rsid w:val="00F80E7F"/>
    <w:rsid w:val="00F812C8"/>
    <w:rsid w:val="00F8132D"/>
    <w:rsid w:val="00F814D5"/>
    <w:rsid w:val="00F817AF"/>
    <w:rsid w:val="00F818AE"/>
    <w:rsid w:val="00F819B7"/>
    <w:rsid w:val="00F81B40"/>
    <w:rsid w:val="00F81C7F"/>
    <w:rsid w:val="00F820C4"/>
    <w:rsid w:val="00F83078"/>
    <w:rsid w:val="00F834F3"/>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990"/>
    <w:rsid w:val="00F90ADB"/>
    <w:rsid w:val="00F90D69"/>
    <w:rsid w:val="00F90E78"/>
    <w:rsid w:val="00F91209"/>
    <w:rsid w:val="00F91A6D"/>
    <w:rsid w:val="00F9221F"/>
    <w:rsid w:val="00F92E62"/>
    <w:rsid w:val="00F93163"/>
    <w:rsid w:val="00F931C7"/>
    <w:rsid w:val="00F93559"/>
    <w:rsid w:val="00F93838"/>
    <w:rsid w:val="00F93D72"/>
    <w:rsid w:val="00F93E65"/>
    <w:rsid w:val="00F94070"/>
    <w:rsid w:val="00F942F1"/>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7ED9"/>
    <w:rsid w:val="00FB0082"/>
    <w:rsid w:val="00FB0243"/>
    <w:rsid w:val="00FB0B6D"/>
    <w:rsid w:val="00FB0F1A"/>
    <w:rsid w:val="00FB1527"/>
    <w:rsid w:val="00FB24CB"/>
    <w:rsid w:val="00FB2537"/>
    <w:rsid w:val="00FB33DC"/>
    <w:rsid w:val="00FB3453"/>
    <w:rsid w:val="00FB36CE"/>
    <w:rsid w:val="00FB40BB"/>
    <w:rsid w:val="00FB4338"/>
    <w:rsid w:val="00FB477E"/>
    <w:rsid w:val="00FB4C9C"/>
    <w:rsid w:val="00FB53CD"/>
    <w:rsid w:val="00FB5A5E"/>
    <w:rsid w:val="00FB5DF1"/>
    <w:rsid w:val="00FB6165"/>
    <w:rsid w:val="00FB6196"/>
    <w:rsid w:val="00FB6F29"/>
    <w:rsid w:val="00FC0150"/>
    <w:rsid w:val="00FC03AB"/>
    <w:rsid w:val="00FC0AD6"/>
    <w:rsid w:val="00FC160B"/>
    <w:rsid w:val="00FC3004"/>
    <w:rsid w:val="00FC31C2"/>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D7B"/>
    <w:rsid w:val="00FD33D3"/>
    <w:rsid w:val="00FD37F6"/>
    <w:rsid w:val="00FD4589"/>
    <w:rsid w:val="00FD473E"/>
    <w:rsid w:val="00FD4E76"/>
    <w:rsid w:val="00FD5083"/>
    <w:rsid w:val="00FD5108"/>
    <w:rsid w:val="00FD66CE"/>
    <w:rsid w:val="00FD7AD1"/>
    <w:rsid w:val="00FD7DF9"/>
    <w:rsid w:val="00FE069E"/>
    <w:rsid w:val="00FE0B03"/>
    <w:rsid w:val="00FE0B51"/>
    <w:rsid w:val="00FE0B78"/>
    <w:rsid w:val="00FE0ED4"/>
    <w:rsid w:val="00FE15C3"/>
    <w:rsid w:val="00FE1CDA"/>
    <w:rsid w:val="00FE1EAB"/>
    <w:rsid w:val="00FE2406"/>
    <w:rsid w:val="00FE30FE"/>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4AE2"/>
    <w:rsid w:val="00FF50A8"/>
    <w:rsid w:val="00FF571E"/>
    <w:rsid w:val="00FF58FB"/>
    <w:rsid w:val="00FF5A6B"/>
    <w:rsid w:val="00FF68AC"/>
    <w:rsid w:val="00FF6B8C"/>
    <w:rsid w:val="00FF6BD1"/>
    <w:rsid w:val="00FF6CC0"/>
    <w:rsid w:val="00FF72E7"/>
    <w:rsid w:val="00FF7512"/>
    <w:rsid w:val="00FF7563"/>
    <w:rsid w:val="00FF780B"/>
    <w:rsid w:val="05F78FE5"/>
    <w:rsid w:val="07EE236A"/>
    <w:rsid w:val="0DE943F3"/>
    <w:rsid w:val="106FCF2B"/>
    <w:rsid w:val="16D3174A"/>
    <w:rsid w:val="18BD732B"/>
    <w:rsid w:val="19FF4E43"/>
    <w:rsid w:val="1B7FAA5E"/>
    <w:rsid w:val="1CFF7FD3"/>
    <w:rsid w:val="1DE692A3"/>
    <w:rsid w:val="1DF70F6A"/>
    <w:rsid w:val="1DFFC7EB"/>
    <w:rsid w:val="1EE75C33"/>
    <w:rsid w:val="1EFCB71A"/>
    <w:rsid w:val="1F29826E"/>
    <w:rsid w:val="1F3FCB2D"/>
    <w:rsid w:val="1F4959BB"/>
    <w:rsid w:val="1FCFF432"/>
    <w:rsid w:val="1FF72A0E"/>
    <w:rsid w:val="1FFF1341"/>
    <w:rsid w:val="23BCA185"/>
    <w:rsid w:val="257EF4FD"/>
    <w:rsid w:val="25DE4399"/>
    <w:rsid w:val="267FA873"/>
    <w:rsid w:val="26DF2682"/>
    <w:rsid w:val="27AB989F"/>
    <w:rsid w:val="27BF4944"/>
    <w:rsid w:val="27FF1F80"/>
    <w:rsid w:val="29EF33FD"/>
    <w:rsid w:val="2AEF84C7"/>
    <w:rsid w:val="2B5B5026"/>
    <w:rsid w:val="2BB3192E"/>
    <w:rsid w:val="2DBF04AD"/>
    <w:rsid w:val="2EADF1FD"/>
    <w:rsid w:val="2EFF3C32"/>
    <w:rsid w:val="2EFF3E93"/>
    <w:rsid w:val="2F590D64"/>
    <w:rsid w:val="2F7FB70E"/>
    <w:rsid w:val="2FFB0CC4"/>
    <w:rsid w:val="32DD150D"/>
    <w:rsid w:val="32FBEF00"/>
    <w:rsid w:val="334F3DD8"/>
    <w:rsid w:val="33B99EB3"/>
    <w:rsid w:val="33FDCD6F"/>
    <w:rsid w:val="34EFF344"/>
    <w:rsid w:val="356F7B78"/>
    <w:rsid w:val="35DD7A0D"/>
    <w:rsid w:val="37673100"/>
    <w:rsid w:val="37F728CF"/>
    <w:rsid w:val="3972B621"/>
    <w:rsid w:val="39BF0B17"/>
    <w:rsid w:val="39EFDB7E"/>
    <w:rsid w:val="39FCCFFD"/>
    <w:rsid w:val="3A7F96DF"/>
    <w:rsid w:val="3AFE6BFA"/>
    <w:rsid w:val="3B9E671F"/>
    <w:rsid w:val="3B9F597D"/>
    <w:rsid w:val="3BAFBCE0"/>
    <w:rsid w:val="3BDFC476"/>
    <w:rsid w:val="3BE63D5E"/>
    <w:rsid w:val="3BF644D5"/>
    <w:rsid w:val="3C6B7333"/>
    <w:rsid w:val="3CAC815A"/>
    <w:rsid w:val="3CF51DE6"/>
    <w:rsid w:val="3D15541C"/>
    <w:rsid w:val="3DBF2EBC"/>
    <w:rsid w:val="3DD6A687"/>
    <w:rsid w:val="3DFDCA4F"/>
    <w:rsid w:val="3DFFBA16"/>
    <w:rsid w:val="3E7C1CDE"/>
    <w:rsid w:val="3EBD6BF3"/>
    <w:rsid w:val="3ECF2598"/>
    <w:rsid w:val="3EEEC258"/>
    <w:rsid w:val="3EFEAA14"/>
    <w:rsid w:val="3F39A110"/>
    <w:rsid w:val="3F7E64A7"/>
    <w:rsid w:val="3FBB57D8"/>
    <w:rsid w:val="3FEFA4B3"/>
    <w:rsid w:val="3FFD46F3"/>
    <w:rsid w:val="3FFFA26F"/>
    <w:rsid w:val="447BDCBE"/>
    <w:rsid w:val="45B6A59A"/>
    <w:rsid w:val="473F18D1"/>
    <w:rsid w:val="4AEDE4C1"/>
    <w:rsid w:val="4BF35825"/>
    <w:rsid w:val="4E1E53BB"/>
    <w:rsid w:val="4EEF365A"/>
    <w:rsid w:val="4F76A469"/>
    <w:rsid w:val="4F7F3B68"/>
    <w:rsid w:val="4FE57D86"/>
    <w:rsid w:val="4FEF1068"/>
    <w:rsid w:val="534F7D9F"/>
    <w:rsid w:val="535FFDB0"/>
    <w:rsid w:val="538070AF"/>
    <w:rsid w:val="55EB470E"/>
    <w:rsid w:val="5699C578"/>
    <w:rsid w:val="56AB6A7D"/>
    <w:rsid w:val="56FDDB44"/>
    <w:rsid w:val="575E63D5"/>
    <w:rsid w:val="57939F6F"/>
    <w:rsid w:val="57BD2021"/>
    <w:rsid w:val="57EDD8EF"/>
    <w:rsid w:val="57EFDBC8"/>
    <w:rsid w:val="58A7542B"/>
    <w:rsid w:val="59EFD40E"/>
    <w:rsid w:val="5AEB05AE"/>
    <w:rsid w:val="5B75C02F"/>
    <w:rsid w:val="5BDF0D3C"/>
    <w:rsid w:val="5BF688B4"/>
    <w:rsid w:val="5BF6AD15"/>
    <w:rsid w:val="5BF777B6"/>
    <w:rsid w:val="5BFF2ADC"/>
    <w:rsid w:val="5BFF8F08"/>
    <w:rsid w:val="5C7BA109"/>
    <w:rsid w:val="5C7F05B7"/>
    <w:rsid w:val="5CB73258"/>
    <w:rsid w:val="5D6F7963"/>
    <w:rsid w:val="5DED8772"/>
    <w:rsid w:val="5DEE4D81"/>
    <w:rsid w:val="5DEEB49E"/>
    <w:rsid w:val="5E4FD312"/>
    <w:rsid w:val="5E7D2748"/>
    <w:rsid w:val="5EF26E40"/>
    <w:rsid w:val="5EFF2163"/>
    <w:rsid w:val="5EFFD04F"/>
    <w:rsid w:val="5F5646EC"/>
    <w:rsid w:val="5F739DD9"/>
    <w:rsid w:val="5F73C51D"/>
    <w:rsid w:val="5F74CFC0"/>
    <w:rsid w:val="5F7E372B"/>
    <w:rsid w:val="5F7F9094"/>
    <w:rsid w:val="5F7FB96F"/>
    <w:rsid w:val="5F9F969D"/>
    <w:rsid w:val="5FDDD09E"/>
    <w:rsid w:val="5FDF63AD"/>
    <w:rsid w:val="5FF7822B"/>
    <w:rsid w:val="5FF79315"/>
    <w:rsid w:val="5FFA8D5F"/>
    <w:rsid w:val="5FFB8CD1"/>
    <w:rsid w:val="5FFE71C1"/>
    <w:rsid w:val="5FFEBC4B"/>
    <w:rsid w:val="5FFFA91B"/>
    <w:rsid w:val="627FD46D"/>
    <w:rsid w:val="63645CDB"/>
    <w:rsid w:val="661F2A36"/>
    <w:rsid w:val="67BE1CDA"/>
    <w:rsid w:val="67CE7FF0"/>
    <w:rsid w:val="67E444EE"/>
    <w:rsid w:val="67ED0732"/>
    <w:rsid w:val="67FA2177"/>
    <w:rsid w:val="67FE73B7"/>
    <w:rsid w:val="6A7CB180"/>
    <w:rsid w:val="6B770163"/>
    <w:rsid w:val="6BFB21CC"/>
    <w:rsid w:val="6BFE1EE1"/>
    <w:rsid w:val="6C25B112"/>
    <w:rsid w:val="6C7B7C50"/>
    <w:rsid w:val="6CFF6899"/>
    <w:rsid w:val="6D9C68CD"/>
    <w:rsid w:val="6DD7C4A8"/>
    <w:rsid w:val="6DE7BB94"/>
    <w:rsid w:val="6DF7F223"/>
    <w:rsid w:val="6E6A0DE4"/>
    <w:rsid w:val="6E7397AA"/>
    <w:rsid w:val="6ECB0A44"/>
    <w:rsid w:val="6EF07845"/>
    <w:rsid w:val="6EF75BF1"/>
    <w:rsid w:val="6F370E61"/>
    <w:rsid w:val="6F5BBC9F"/>
    <w:rsid w:val="6FEB98DE"/>
    <w:rsid w:val="6FFD5F44"/>
    <w:rsid w:val="6FFD8374"/>
    <w:rsid w:val="6FFDCFB4"/>
    <w:rsid w:val="6FFE56FE"/>
    <w:rsid w:val="6FFF78DE"/>
    <w:rsid w:val="6FFF8AD0"/>
    <w:rsid w:val="6FFF8B1E"/>
    <w:rsid w:val="6FFFF902"/>
    <w:rsid w:val="71AEA393"/>
    <w:rsid w:val="71D32CA6"/>
    <w:rsid w:val="72FF21E5"/>
    <w:rsid w:val="735F5502"/>
    <w:rsid w:val="736FAE36"/>
    <w:rsid w:val="73E7DC8B"/>
    <w:rsid w:val="7533C570"/>
    <w:rsid w:val="757F1B5C"/>
    <w:rsid w:val="75CEE238"/>
    <w:rsid w:val="75F69DC1"/>
    <w:rsid w:val="75FB90A0"/>
    <w:rsid w:val="75FE21DE"/>
    <w:rsid w:val="75FF5099"/>
    <w:rsid w:val="76DEAC33"/>
    <w:rsid w:val="76F1BA1E"/>
    <w:rsid w:val="76FB073C"/>
    <w:rsid w:val="76FB3249"/>
    <w:rsid w:val="76FC3740"/>
    <w:rsid w:val="76FE736A"/>
    <w:rsid w:val="76FF1C4E"/>
    <w:rsid w:val="772FD57A"/>
    <w:rsid w:val="776FE7A6"/>
    <w:rsid w:val="7776BB14"/>
    <w:rsid w:val="7777AFCF"/>
    <w:rsid w:val="7777E009"/>
    <w:rsid w:val="777BBCEC"/>
    <w:rsid w:val="77915C28"/>
    <w:rsid w:val="77BB879D"/>
    <w:rsid w:val="77BDCDB1"/>
    <w:rsid w:val="77BFAFA8"/>
    <w:rsid w:val="77C78094"/>
    <w:rsid w:val="77DD4B82"/>
    <w:rsid w:val="77EBEC67"/>
    <w:rsid w:val="77F3EC90"/>
    <w:rsid w:val="77FD770D"/>
    <w:rsid w:val="77FEAB39"/>
    <w:rsid w:val="77FF795A"/>
    <w:rsid w:val="785F1A0D"/>
    <w:rsid w:val="78EE2F9A"/>
    <w:rsid w:val="78FA6F1E"/>
    <w:rsid w:val="79443FC3"/>
    <w:rsid w:val="797B9F09"/>
    <w:rsid w:val="79BD2F68"/>
    <w:rsid w:val="79EDA234"/>
    <w:rsid w:val="79EF4572"/>
    <w:rsid w:val="79FC4B82"/>
    <w:rsid w:val="79FC6116"/>
    <w:rsid w:val="7A5F0A26"/>
    <w:rsid w:val="7A7B4DBC"/>
    <w:rsid w:val="7AA049CD"/>
    <w:rsid w:val="7ABFB117"/>
    <w:rsid w:val="7AEBD382"/>
    <w:rsid w:val="7AEE0E51"/>
    <w:rsid w:val="7B5E689D"/>
    <w:rsid w:val="7B6A82B8"/>
    <w:rsid w:val="7B7F270B"/>
    <w:rsid w:val="7B7FD704"/>
    <w:rsid w:val="7BBA9EB3"/>
    <w:rsid w:val="7BCF8330"/>
    <w:rsid w:val="7BDAED8E"/>
    <w:rsid w:val="7BDD16BF"/>
    <w:rsid w:val="7BDF717B"/>
    <w:rsid w:val="7BE6C7DB"/>
    <w:rsid w:val="7BE94FDC"/>
    <w:rsid w:val="7BEA2A12"/>
    <w:rsid w:val="7BFD7755"/>
    <w:rsid w:val="7BFED745"/>
    <w:rsid w:val="7BFFD980"/>
    <w:rsid w:val="7C66B9B9"/>
    <w:rsid w:val="7CCFE7F0"/>
    <w:rsid w:val="7CEFE6E7"/>
    <w:rsid w:val="7CFDF751"/>
    <w:rsid w:val="7CFF591C"/>
    <w:rsid w:val="7D1DEBEA"/>
    <w:rsid w:val="7D5B53EB"/>
    <w:rsid w:val="7D7D6086"/>
    <w:rsid w:val="7D9B5195"/>
    <w:rsid w:val="7D9D4D10"/>
    <w:rsid w:val="7DAE0A84"/>
    <w:rsid w:val="7DAE6279"/>
    <w:rsid w:val="7DBF41B5"/>
    <w:rsid w:val="7DD7F3C1"/>
    <w:rsid w:val="7DDD6EFE"/>
    <w:rsid w:val="7DDE63AB"/>
    <w:rsid w:val="7DEBE379"/>
    <w:rsid w:val="7DEF13BA"/>
    <w:rsid w:val="7DF7DF25"/>
    <w:rsid w:val="7DFBE79E"/>
    <w:rsid w:val="7DFE8EA1"/>
    <w:rsid w:val="7DFFE8D6"/>
    <w:rsid w:val="7E6FCB0A"/>
    <w:rsid w:val="7E79BF72"/>
    <w:rsid w:val="7E7AFF44"/>
    <w:rsid w:val="7E7FEB0F"/>
    <w:rsid w:val="7E8B4DC6"/>
    <w:rsid w:val="7EAA00DF"/>
    <w:rsid w:val="7EADB7F1"/>
    <w:rsid w:val="7EAF1646"/>
    <w:rsid w:val="7EC3922B"/>
    <w:rsid w:val="7EDB5A3D"/>
    <w:rsid w:val="7EDF13EE"/>
    <w:rsid w:val="7EDFBEE7"/>
    <w:rsid w:val="7EED5FB7"/>
    <w:rsid w:val="7EEFB2DD"/>
    <w:rsid w:val="7EFD22BA"/>
    <w:rsid w:val="7EFE33CA"/>
    <w:rsid w:val="7EFE8CD2"/>
    <w:rsid w:val="7EFF82C4"/>
    <w:rsid w:val="7F4964A8"/>
    <w:rsid w:val="7F4DC04D"/>
    <w:rsid w:val="7F67EA86"/>
    <w:rsid w:val="7F76432D"/>
    <w:rsid w:val="7F771725"/>
    <w:rsid w:val="7F779D61"/>
    <w:rsid w:val="7F794768"/>
    <w:rsid w:val="7F7C9D8F"/>
    <w:rsid w:val="7F7D5A33"/>
    <w:rsid w:val="7F7E7315"/>
    <w:rsid w:val="7F8EF6D4"/>
    <w:rsid w:val="7F9F8727"/>
    <w:rsid w:val="7FAC5C27"/>
    <w:rsid w:val="7FB48DC4"/>
    <w:rsid w:val="7FB54455"/>
    <w:rsid w:val="7FB77A49"/>
    <w:rsid w:val="7FB94BB1"/>
    <w:rsid w:val="7FBB4756"/>
    <w:rsid w:val="7FBB8D4F"/>
    <w:rsid w:val="7FBDB785"/>
    <w:rsid w:val="7FBF6692"/>
    <w:rsid w:val="7FC43B7C"/>
    <w:rsid w:val="7FDB9AB9"/>
    <w:rsid w:val="7FDDAF43"/>
    <w:rsid w:val="7FDDFA08"/>
    <w:rsid w:val="7FDF4325"/>
    <w:rsid w:val="7FDFE181"/>
    <w:rsid w:val="7FE7C4A0"/>
    <w:rsid w:val="7FEFAE9E"/>
    <w:rsid w:val="7FF4751E"/>
    <w:rsid w:val="7FF5E45A"/>
    <w:rsid w:val="7FF70FB2"/>
    <w:rsid w:val="7FF7B8FE"/>
    <w:rsid w:val="7FF7F176"/>
    <w:rsid w:val="7FF9790C"/>
    <w:rsid w:val="7FFB912A"/>
    <w:rsid w:val="7FFBD01D"/>
    <w:rsid w:val="7FFBD08B"/>
    <w:rsid w:val="7FFC7A53"/>
    <w:rsid w:val="7FFD3CD2"/>
    <w:rsid w:val="7FFDDC19"/>
    <w:rsid w:val="7FFDFF88"/>
    <w:rsid w:val="7FFE4B76"/>
    <w:rsid w:val="7FFF27BF"/>
    <w:rsid w:val="7FFFCBA6"/>
    <w:rsid w:val="833F893B"/>
    <w:rsid w:val="8DAF86FA"/>
    <w:rsid w:val="941512CA"/>
    <w:rsid w:val="95BF5973"/>
    <w:rsid w:val="95FF8203"/>
    <w:rsid w:val="96BFECD1"/>
    <w:rsid w:val="96F4D927"/>
    <w:rsid w:val="97D7DA57"/>
    <w:rsid w:val="97FFADBE"/>
    <w:rsid w:val="9AB36C4E"/>
    <w:rsid w:val="9BDC00C1"/>
    <w:rsid w:val="9DB67077"/>
    <w:rsid w:val="9E7B4F33"/>
    <w:rsid w:val="9FBB5392"/>
    <w:rsid w:val="9FF589B4"/>
    <w:rsid w:val="9FF8BB96"/>
    <w:rsid w:val="A0EFB538"/>
    <w:rsid w:val="A16C51BE"/>
    <w:rsid w:val="A2FFCD17"/>
    <w:rsid w:val="A57B2F2A"/>
    <w:rsid w:val="A673A421"/>
    <w:rsid w:val="A7F9B835"/>
    <w:rsid w:val="A7FD106A"/>
    <w:rsid w:val="A8FEE3D4"/>
    <w:rsid w:val="A95FCC50"/>
    <w:rsid w:val="AAFD3C05"/>
    <w:rsid w:val="ABBB43DE"/>
    <w:rsid w:val="ABE7C7F1"/>
    <w:rsid w:val="AD337700"/>
    <w:rsid w:val="AD7B075A"/>
    <w:rsid w:val="ADE47CB6"/>
    <w:rsid w:val="ADE5EA71"/>
    <w:rsid w:val="AF7FC11A"/>
    <w:rsid w:val="AFF71C8A"/>
    <w:rsid w:val="AFFA46E2"/>
    <w:rsid w:val="AFFFB7DF"/>
    <w:rsid w:val="B2A79961"/>
    <w:rsid w:val="B2DB1957"/>
    <w:rsid w:val="B3B7487B"/>
    <w:rsid w:val="B3BAF14F"/>
    <w:rsid w:val="B3FB768B"/>
    <w:rsid w:val="B62F215A"/>
    <w:rsid w:val="B6B9CB18"/>
    <w:rsid w:val="B6BF6B39"/>
    <w:rsid w:val="B6FF3C76"/>
    <w:rsid w:val="B74F3B71"/>
    <w:rsid w:val="B75B551C"/>
    <w:rsid w:val="B7B5689F"/>
    <w:rsid w:val="B7BC3EFE"/>
    <w:rsid w:val="B7DF3D12"/>
    <w:rsid w:val="B7DFBB9A"/>
    <w:rsid w:val="B7F7FF89"/>
    <w:rsid w:val="B7FF7687"/>
    <w:rsid w:val="B8EB159C"/>
    <w:rsid w:val="B95B893B"/>
    <w:rsid w:val="B9BE12AF"/>
    <w:rsid w:val="B9D63706"/>
    <w:rsid w:val="BB1F030A"/>
    <w:rsid w:val="BB3F4E70"/>
    <w:rsid w:val="BBFE7A14"/>
    <w:rsid w:val="BBFFA884"/>
    <w:rsid w:val="BCDFD361"/>
    <w:rsid w:val="BCFF6E74"/>
    <w:rsid w:val="BD7E6E61"/>
    <w:rsid w:val="BDBF34E9"/>
    <w:rsid w:val="BDD5CD13"/>
    <w:rsid w:val="BDEDB806"/>
    <w:rsid w:val="BDF66DFC"/>
    <w:rsid w:val="BDFF148B"/>
    <w:rsid w:val="BE3EC1F5"/>
    <w:rsid w:val="BE5DE611"/>
    <w:rsid w:val="BE7F5F9E"/>
    <w:rsid w:val="BE9D8773"/>
    <w:rsid w:val="BE9E7224"/>
    <w:rsid w:val="BEEC55EE"/>
    <w:rsid w:val="BEFDFD8A"/>
    <w:rsid w:val="BF5FA8F6"/>
    <w:rsid w:val="BF6E0045"/>
    <w:rsid w:val="BF7F12CE"/>
    <w:rsid w:val="BFB7FB16"/>
    <w:rsid w:val="BFBD1AC9"/>
    <w:rsid w:val="BFBD8ADD"/>
    <w:rsid w:val="BFCA6B0F"/>
    <w:rsid w:val="BFDE65BA"/>
    <w:rsid w:val="BFDE87D0"/>
    <w:rsid w:val="BFDE9DC7"/>
    <w:rsid w:val="BFDF17E4"/>
    <w:rsid w:val="BFDFC5F6"/>
    <w:rsid w:val="BFEE2123"/>
    <w:rsid w:val="BFF35AB7"/>
    <w:rsid w:val="BFFDD4FA"/>
    <w:rsid w:val="BFFE60F2"/>
    <w:rsid w:val="BFFFCE66"/>
    <w:rsid w:val="C2E65958"/>
    <w:rsid w:val="C7B380E7"/>
    <w:rsid w:val="C7B4CED4"/>
    <w:rsid w:val="C7BADF7A"/>
    <w:rsid w:val="C7FE3422"/>
    <w:rsid w:val="CBEF189C"/>
    <w:rsid w:val="CBEF9C5C"/>
    <w:rsid w:val="CD1BBDF3"/>
    <w:rsid w:val="CE4D6525"/>
    <w:rsid w:val="CE9C1C63"/>
    <w:rsid w:val="CFE79E35"/>
    <w:rsid w:val="CFFDEDC3"/>
    <w:rsid w:val="CFFFC643"/>
    <w:rsid w:val="D1FC2D24"/>
    <w:rsid w:val="D23F2D48"/>
    <w:rsid w:val="D2F7E50D"/>
    <w:rsid w:val="D5FACAD5"/>
    <w:rsid w:val="D5FEC03F"/>
    <w:rsid w:val="D6577636"/>
    <w:rsid w:val="D76DDC0B"/>
    <w:rsid w:val="D77FE7D3"/>
    <w:rsid w:val="D795C38D"/>
    <w:rsid w:val="D7AB998C"/>
    <w:rsid w:val="D7CFC6B9"/>
    <w:rsid w:val="D7DBB342"/>
    <w:rsid w:val="D7F7A5B0"/>
    <w:rsid w:val="D7FD697A"/>
    <w:rsid w:val="D89F41A5"/>
    <w:rsid w:val="D9AEF4FC"/>
    <w:rsid w:val="D9E51A86"/>
    <w:rsid w:val="DABF11A9"/>
    <w:rsid w:val="DB511E72"/>
    <w:rsid w:val="DB970DFE"/>
    <w:rsid w:val="DBFD5F4C"/>
    <w:rsid w:val="DC6F1EEA"/>
    <w:rsid w:val="DDAF40A4"/>
    <w:rsid w:val="DDBD68F8"/>
    <w:rsid w:val="DDC4BB73"/>
    <w:rsid w:val="DDDE69D2"/>
    <w:rsid w:val="DDF541C3"/>
    <w:rsid w:val="DDF83D3E"/>
    <w:rsid w:val="DDFFFD3C"/>
    <w:rsid w:val="DEBFD841"/>
    <w:rsid w:val="DED285F9"/>
    <w:rsid w:val="DEDF25A2"/>
    <w:rsid w:val="DF624B06"/>
    <w:rsid w:val="DF6F21A1"/>
    <w:rsid w:val="DF6F6EF4"/>
    <w:rsid w:val="DF794FDF"/>
    <w:rsid w:val="DF7D0DA1"/>
    <w:rsid w:val="DF7D3977"/>
    <w:rsid w:val="DF7F1818"/>
    <w:rsid w:val="DF9EBF3A"/>
    <w:rsid w:val="DFBF1C6E"/>
    <w:rsid w:val="DFBFA653"/>
    <w:rsid w:val="DFCEF229"/>
    <w:rsid w:val="DFD9C4F4"/>
    <w:rsid w:val="DFE4BC93"/>
    <w:rsid w:val="DFEF0CFC"/>
    <w:rsid w:val="DFEF82ED"/>
    <w:rsid w:val="DFEF8619"/>
    <w:rsid w:val="DFF4D64E"/>
    <w:rsid w:val="DFF7D1A1"/>
    <w:rsid w:val="DFFCB3CA"/>
    <w:rsid w:val="DFFF8499"/>
    <w:rsid w:val="DFFF9C1F"/>
    <w:rsid w:val="DFFFB711"/>
    <w:rsid w:val="E1E76C38"/>
    <w:rsid w:val="E3AF7B9E"/>
    <w:rsid w:val="E53F1ED3"/>
    <w:rsid w:val="E5DEC0AE"/>
    <w:rsid w:val="E6D95D16"/>
    <w:rsid w:val="E6FD682F"/>
    <w:rsid w:val="E73F53DF"/>
    <w:rsid w:val="E752E221"/>
    <w:rsid w:val="E77F185E"/>
    <w:rsid w:val="E7CBA05A"/>
    <w:rsid w:val="E7D55E71"/>
    <w:rsid w:val="E7D7506C"/>
    <w:rsid w:val="E7DB5FD2"/>
    <w:rsid w:val="E7E39F98"/>
    <w:rsid w:val="E8DB0373"/>
    <w:rsid w:val="E8F837B2"/>
    <w:rsid w:val="E9C3978A"/>
    <w:rsid w:val="EABF8F29"/>
    <w:rsid w:val="EAFD6770"/>
    <w:rsid w:val="EBBA07AC"/>
    <w:rsid w:val="EBEF4F72"/>
    <w:rsid w:val="EBFBCDF9"/>
    <w:rsid w:val="EC6F1589"/>
    <w:rsid w:val="EDBF1A88"/>
    <w:rsid w:val="EDD54F27"/>
    <w:rsid w:val="EDD9988A"/>
    <w:rsid w:val="EDEBDBDD"/>
    <w:rsid w:val="EE77960A"/>
    <w:rsid w:val="EE7AE806"/>
    <w:rsid w:val="EE9EDF13"/>
    <w:rsid w:val="EEDFB0FD"/>
    <w:rsid w:val="EEFA74FE"/>
    <w:rsid w:val="EF17CD35"/>
    <w:rsid w:val="EF372A3F"/>
    <w:rsid w:val="EF753F12"/>
    <w:rsid w:val="EF77A1FF"/>
    <w:rsid w:val="EF7F5607"/>
    <w:rsid w:val="EFB60DBB"/>
    <w:rsid w:val="EFBF23BB"/>
    <w:rsid w:val="EFD2682A"/>
    <w:rsid w:val="EFEBAB5B"/>
    <w:rsid w:val="EFEE924C"/>
    <w:rsid w:val="EFF0C269"/>
    <w:rsid w:val="EFF3E78B"/>
    <w:rsid w:val="EFF45EE8"/>
    <w:rsid w:val="EFF86C96"/>
    <w:rsid w:val="EFFDD87F"/>
    <w:rsid w:val="F1BE3A0B"/>
    <w:rsid w:val="F1BFBE0D"/>
    <w:rsid w:val="F1F3CF73"/>
    <w:rsid w:val="F23E02B5"/>
    <w:rsid w:val="F2ADC341"/>
    <w:rsid w:val="F2BA4DC5"/>
    <w:rsid w:val="F396C8CC"/>
    <w:rsid w:val="F3DB9F3A"/>
    <w:rsid w:val="F3F7F53E"/>
    <w:rsid w:val="F3FDB845"/>
    <w:rsid w:val="F3FEE8FB"/>
    <w:rsid w:val="F43B9430"/>
    <w:rsid w:val="F4C14380"/>
    <w:rsid w:val="F4EF33A9"/>
    <w:rsid w:val="F56DC59F"/>
    <w:rsid w:val="F5EFCF6C"/>
    <w:rsid w:val="F5EFF3D0"/>
    <w:rsid w:val="F5F2BFB0"/>
    <w:rsid w:val="F6AF3968"/>
    <w:rsid w:val="F6B74593"/>
    <w:rsid w:val="F6B98023"/>
    <w:rsid w:val="F6DD7019"/>
    <w:rsid w:val="F6FC75E8"/>
    <w:rsid w:val="F6FDC3D5"/>
    <w:rsid w:val="F73F688B"/>
    <w:rsid w:val="F75C00C2"/>
    <w:rsid w:val="F76C5603"/>
    <w:rsid w:val="F777DCBC"/>
    <w:rsid w:val="F77F72A6"/>
    <w:rsid w:val="F7A7F64F"/>
    <w:rsid w:val="F7C8B8C1"/>
    <w:rsid w:val="F7D80FB7"/>
    <w:rsid w:val="F7DC56FC"/>
    <w:rsid w:val="F7DF69C0"/>
    <w:rsid w:val="F7E449EE"/>
    <w:rsid w:val="F7FB5588"/>
    <w:rsid w:val="F93F1C57"/>
    <w:rsid w:val="F95F86C8"/>
    <w:rsid w:val="F97D5253"/>
    <w:rsid w:val="F9ADFA05"/>
    <w:rsid w:val="F9AE3B8C"/>
    <w:rsid w:val="F9BC6AD9"/>
    <w:rsid w:val="F9F6F986"/>
    <w:rsid w:val="F9F7B927"/>
    <w:rsid w:val="F9F9CEB4"/>
    <w:rsid w:val="F9FDF196"/>
    <w:rsid w:val="F9FF26FA"/>
    <w:rsid w:val="F9FF43B8"/>
    <w:rsid w:val="FA04B812"/>
    <w:rsid w:val="FA17AC7A"/>
    <w:rsid w:val="FAFFD96E"/>
    <w:rsid w:val="FBA8C51C"/>
    <w:rsid w:val="FBD71CDC"/>
    <w:rsid w:val="FBDDB917"/>
    <w:rsid w:val="FBEE6B81"/>
    <w:rsid w:val="FBEF2387"/>
    <w:rsid w:val="FBF73EC7"/>
    <w:rsid w:val="FBFF1DD5"/>
    <w:rsid w:val="FC6B70D4"/>
    <w:rsid w:val="FCEFED95"/>
    <w:rsid w:val="FCF70F2B"/>
    <w:rsid w:val="FCFF09B3"/>
    <w:rsid w:val="FCFF41F0"/>
    <w:rsid w:val="FCFFBF74"/>
    <w:rsid w:val="FD07A389"/>
    <w:rsid w:val="FD3FB0FD"/>
    <w:rsid w:val="FD4BD30B"/>
    <w:rsid w:val="FD5A8A3E"/>
    <w:rsid w:val="FD7D5F90"/>
    <w:rsid w:val="FD9E57F1"/>
    <w:rsid w:val="FDBE6875"/>
    <w:rsid w:val="FDC76148"/>
    <w:rsid w:val="FDDFD7DF"/>
    <w:rsid w:val="FDF59E29"/>
    <w:rsid w:val="FDF69CC3"/>
    <w:rsid w:val="FDF71682"/>
    <w:rsid w:val="FDFFC3D1"/>
    <w:rsid w:val="FE3E821B"/>
    <w:rsid w:val="FE7DD148"/>
    <w:rsid w:val="FEAE00A6"/>
    <w:rsid w:val="FEBF6B62"/>
    <w:rsid w:val="FEC777A1"/>
    <w:rsid w:val="FED7F1BD"/>
    <w:rsid w:val="FEDF3970"/>
    <w:rsid w:val="FEDF9583"/>
    <w:rsid w:val="FEEEDD4D"/>
    <w:rsid w:val="FEF355B3"/>
    <w:rsid w:val="FEF7D77B"/>
    <w:rsid w:val="FEFD37E5"/>
    <w:rsid w:val="FEFDFCAD"/>
    <w:rsid w:val="FEFF78DF"/>
    <w:rsid w:val="FEFFE5E0"/>
    <w:rsid w:val="FEFFF934"/>
    <w:rsid w:val="FF26F4CC"/>
    <w:rsid w:val="FF34382B"/>
    <w:rsid w:val="FF3D506F"/>
    <w:rsid w:val="FF3E0C70"/>
    <w:rsid w:val="FF577E31"/>
    <w:rsid w:val="FF591539"/>
    <w:rsid w:val="FF5CF483"/>
    <w:rsid w:val="FF5FD77A"/>
    <w:rsid w:val="FF6D8862"/>
    <w:rsid w:val="FF794689"/>
    <w:rsid w:val="FF7B536A"/>
    <w:rsid w:val="FF7B7607"/>
    <w:rsid w:val="FF7F839C"/>
    <w:rsid w:val="FF8985E2"/>
    <w:rsid w:val="FF934785"/>
    <w:rsid w:val="FFAF9D88"/>
    <w:rsid w:val="FFB656A5"/>
    <w:rsid w:val="FFBE8F3B"/>
    <w:rsid w:val="FFBF1D64"/>
    <w:rsid w:val="FFBF2D9A"/>
    <w:rsid w:val="FFBFA557"/>
    <w:rsid w:val="FFBFB47F"/>
    <w:rsid w:val="FFBFCEB0"/>
    <w:rsid w:val="FFC72FFD"/>
    <w:rsid w:val="FFCFC524"/>
    <w:rsid w:val="FFD4AF12"/>
    <w:rsid w:val="FFDF0535"/>
    <w:rsid w:val="FFE6E1A0"/>
    <w:rsid w:val="FFEB0A23"/>
    <w:rsid w:val="FFED65FD"/>
    <w:rsid w:val="FFEFFD41"/>
    <w:rsid w:val="FFF276E1"/>
    <w:rsid w:val="FFF3DD22"/>
    <w:rsid w:val="FFF7501D"/>
    <w:rsid w:val="FFF7F07E"/>
    <w:rsid w:val="FFF8A5FA"/>
    <w:rsid w:val="FFFBBC61"/>
    <w:rsid w:val="FFFC1C18"/>
    <w:rsid w:val="FFFD6A9B"/>
    <w:rsid w:val="FFFD6D5C"/>
    <w:rsid w:val="FFFE5A16"/>
    <w:rsid w:val="FFFEFEC3"/>
    <w:rsid w:val="FFFF06D9"/>
    <w:rsid w:val="FFFF301D"/>
    <w:rsid w:val="FFFF3DD6"/>
    <w:rsid w:val="FFFFA957"/>
    <w:rsid w:val="FFFFBFCF"/>
    <w:rsid w:val="FFFFDD4B"/>
    <w:rsid w:val="FFFFF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iPriority="0" w:semiHidden="0" w:name="annotation text"/>
    <w:lsdException w:qFormat="1" w:unhideWhenUsed="0" w:uiPriority="0"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tabs>
        <w:tab w:val="clear" w:pos="432"/>
      </w:tabs>
      <w:spacing w:before="120"/>
      <w:outlineLvl w:val="0"/>
    </w:pPr>
    <w:rPr>
      <w:b/>
      <w:bCs/>
      <w:sz w:val="28"/>
      <w:szCs w:val="28"/>
    </w:rPr>
  </w:style>
  <w:style w:type="paragraph" w:styleId="3">
    <w:name w:val="heading 2"/>
    <w:basedOn w:val="1"/>
    <w:next w:val="1"/>
    <w:qFormat/>
    <w:uiPriority w:val="9"/>
    <w:pPr>
      <w:keepNext/>
      <w:numPr>
        <w:ilvl w:val="1"/>
        <w:numId w:val="1"/>
      </w:numPr>
      <w:spacing w:before="120"/>
      <w:outlineLvl w:val="1"/>
    </w:pPr>
    <w:rPr>
      <w:b/>
      <w:bCs/>
      <w:sz w:val="24"/>
    </w:rPr>
  </w:style>
  <w:style w:type="paragraph" w:styleId="4">
    <w:name w:val="heading 3"/>
    <w:basedOn w:val="1"/>
    <w:next w:val="5"/>
    <w:qFormat/>
    <w:uiPriority w:val="0"/>
    <w:pPr>
      <w:keepNext/>
      <w:numPr>
        <w:ilvl w:val="2"/>
        <w:numId w:val="1"/>
      </w:numPr>
      <w:tabs>
        <w:tab w:val="left" w:pos="432"/>
      </w:tabs>
      <w:spacing w:before="120"/>
      <w:outlineLvl w:val="2"/>
    </w:pPr>
    <w:rPr>
      <w:b/>
    </w:rPr>
  </w:style>
  <w:style w:type="paragraph" w:styleId="6">
    <w:name w:val="heading 4"/>
    <w:basedOn w:val="1"/>
    <w:next w:val="1"/>
    <w:qFormat/>
    <w:uiPriority w:val="9"/>
    <w:pPr>
      <w:keepNext/>
      <w:numPr>
        <w:ilvl w:val="3"/>
        <w:numId w:val="1"/>
      </w:numPr>
      <w:tabs>
        <w:tab w:val="clear" w:pos="864"/>
      </w:tabs>
      <w:spacing w:before="120"/>
      <w:ind w:left="720" w:hanging="720"/>
      <w:outlineLvl w:val="3"/>
    </w:pPr>
    <w:rPr>
      <w:b/>
      <w:bCs/>
      <w:szCs w:val="28"/>
    </w:rPr>
  </w:style>
  <w:style w:type="paragraph" w:styleId="7">
    <w:name w:val="heading 5"/>
    <w:basedOn w:val="1"/>
    <w:next w:val="1"/>
    <w:qFormat/>
    <w:uiPriority w:val="9"/>
    <w:pPr>
      <w:keepNext/>
      <w:numPr>
        <w:ilvl w:val="4"/>
        <w:numId w:val="1"/>
      </w:numPr>
      <w:tabs>
        <w:tab w:val="clear" w:pos="1008"/>
      </w:tabs>
      <w:spacing w:before="120"/>
      <w:ind w:left="720" w:hanging="720"/>
      <w:outlineLvl w:val="4"/>
    </w:pPr>
    <w:rPr>
      <w:b/>
      <w:bCs/>
      <w:i/>
      <w:iCs/>
      <w:szCs w:val="26"/>
    </w:rPr>
  </w:style>
  <w:style w:type="paragraph" w:styleId="8">
    <w:name w:val="heading 6"/>
    <w:basedOn w:val="1"/>
    <w:next w:val="1"/>
    <w:qFormat/>
    <w:uiPriority w:val="9"/>
    <w:pPr>
      <w:numPr>
        <w:ilvl w:val="5"/>
        <w:numId w:val="1"/>
      </w:numPr>
      <w:spacing w:before="240" w:after="60"/>
      <w:outlineLvl w:val="5"/>
    </w:pPr>
    <w:rPr>
      <w:b/>
      <w:bCs/>
    </w:rPr>
  </w:style>
  <w:style w:type="paragraph" w:styleId="9">
    <w:name w:val="heading 7"/>
    <w:basedOn w:val="1"/>
    <w:next w:val="1"/>
    <w:qFormat/>
    <w:uiPriority w:val="9"/>
    <w:pPr>
      <w:numPr>
        <w:ilvl w:val="6"/>
        <w:numId w:val="1"/>
      </w:numPr>
      <w:spacing w:before="240" w:after="60"/>
      <w:outlineLvl w:val="6"/>
    </w:pPr>
    <w:rPr>
      <w:sz w:val="24"/>
      <w:szCs w:val="24"/>
    </w:rPr>
  </w:style>
  <w:style w:type="paragraph" w:styleId="10">
    <w:name w:val="heading 8"/>
    <w:basedOn w:val="1"/>
    <w:next w:val="1"/>
    <w:qFormat/>
    <w:uiPriority w:val="9"/>
    <w:pPr>
      <w:numPr>
        <w:ilvl w:val="7"/>
        <w:numId w:val="1"/>
      </w:numPr>
      <w:spacing w:before="240" w:after="60"/>
      <w:outlineLvl w:val="7"/>
    </w:pPr>
    <w:rPr>
      <w:i/>
      <w:iCs/>
      <w:sz w:val="24"/>
      <w:szCs w:val="24"/>
    </w:rPr>
  </w:style>
  <w:style w:type="paragraph" w:styleId="11">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5">
    <w:name w:val="Body Text"/>
    <w:basedOn w:val="1"/>
    <w:link w:val="33"/>
    <w:uiPriority w:val="0"/>
    <w:rPr>
      <w:sz w:val="20"/>
      <w:szCs w:val="20"/>
    </w:rPr>
  </w:style>
  <w:style w:type="paragraph" w:styleId="12">
    <w:name w:val="List 3"/>
    <w:basedOn w:val="1"/>
    <w:semiHidden/>
    <w:unhideWhenUsed/>
    <w:uiPriority w:val="0"/>
    <w:pPr>
      <w:ind w:left="100" w:leftChars="400" w:hanging="200" w:hangingChars="200"/>
      <w:contextualSpacing/>
    </w:pPr>
  </w:style>
  <w:style w:type="paragraph" w:styleId="13">
    <w:name w:val="caption"/>
    <w:basedOn w:val="1"/>
    <w:next w:val="1"/>
    <w:link w:val="37"/>
    <w:qFormat/>
    <w:uiPriority w:val="0"/>
    <w:pPr>
      <w:jc w:val="center"/>
    </w:pPr>
    <w:rPr>
      <w:b/>
      <w:bCs/>
      <w:sz w:val="20"/>
      <w:szCs w:val="20"/>
    </w:rPr>
  </w:style>
  <w:style w:type="paragraph" w:styleId="14">
    <w:name w:val="List Bullet"/>
    <w:basedOn w:val="15"/>
    <w:uiPriority w:val="0"/>
    <w:pPr>
      <w:autoSpaceDE/>
      <w:autoSpaceDN/>
      <w:adjustRightInd/>
      <w:spacing w:after="180"/>
      <w:ind w:left="568" w:hanging="284"/>
      <w:jc w:val="left"/>
    </w:pPr>
    <w:rPr>
      <w:sz w:val="20"/>
      <w:szCs w:val="20"/>
      <w:lang w:val="en-GB"/>
    </w:rPr>
  </w:style>
  <w:style w:type="paragraph" w:styleId="15">
    <w:name w:val="List"/>
    <w:basedOn w:val="1"/>
    <w:uiPriority w:val="0"/>
    <w:pPr>
      <w:ind w:left="360" w:hanging="360"/>
    </w:pPr>
  </w:style>
  <w:style w:type="paragraph" w:styleId="16">
    <w:name w:val="annotation text"/>
    <w:basedOn w:val="1"/>
    <w:link w:val="53"/>
    <w:unhideWhenUsed/>
    <w:qFormat/>
    <w:uiPriority w:val="0"/>
    <w:pPr>
      <w:jc w:val="left"/>
    </w:pPr>
  </w:style>
  <w:style w:type="paragraph" w:styleId="17">
    <w:name w:val="List Bullet 3"/>
    <w:basedOn w:val="1"/>
    <w:uiPriority w:val="0"/>
    <w:pPr>
      <w:numPr>
        <w:ilvl w:val="0"/>
        <w:numId w:val="2"/>
      </w:numPr>
      <w:autoSpaceDE/>
      <w:autoSpaceDN/>
      <w:adjustRightInd/>
      <w:snapToGrid/>
      <w:spacing w:after="240"/>
      <w:jc w:val="left"/>
    </w:pPr>
    <w:rPr>
      <w:rFonts w:eastAsia="Times New Roman"/>
      <w:sz w:val="24"/>
      <w:szCs w:val="24"/>
      <w:lang w:val="zh-CN" w:eastAsia="zh-CN"/>
    </w:rPr>
  </w:style>
  <w:style w:type="paragraph" w:styleId="18">
    <w:name w:val="List 2"/>
    <w:basedOn w:val="1"/>
    <w:semiHidden/>
    <w:unhideWhenUsed/>
    <w:uiPriority w:val="0"/>
    <w:pPr>
      <w:ind w:left="100" w:leftChars="200" w:hanging="200" w:hangingChars="200"/>
      <w:contextualSpacing/>
    </w:pPr>
  </w:style>
  <w:style w:type="paragraph" w:styleId="19">
    <w:name w:val="List Bullet 2"/>
    <w:basedOn w:val="1"/>
    <w:uiPriority w:val="0"/>
    <w:pPr>
      <w:numPr>
        <w:ilvl w:val="0"/>
        <w:numId w:val="3"/>
      </w:numPr>
      <w:autoSpaceDE/>
      <w:autoSpaceDN/>
      <w:adjustRightInd/>
      <w:snapToGrid/>
      <w:spacing w:after="240"/>
      <w:jc w:val="left"/>
    </w:pPr>
    <w:rPr>
      <w:rFonts w:eastAsia="Times New Roman"/>
      <w:sz w:val="24"/>
      <w:szCs w:val="24"/>
      <w:lang w:val="zh-CN" w:eastAsia="zh-CN"/>
    </w:rPr>
  </w:style>
  <w:style w:type="paragraph" w:styleId="20">
    <w:name w:val="Balloon Text"/>
    <w:basedOn w:val="1"/>
    <w:semiHidden/>
    <w:uiPriority w:val="0"/>
    <w:rPr>
      <w:rFonts w:ascii="Tahoma" w:hAnsi="Tahoma" w:cs="Tahoma"/>
      <w:sz w:val="16"/>
      <w:szCs w:val="16"/>
    </w:rPr>
  </w:style>
  <w:style w:type="paragraph" w:styleId="21">
    <w:name w:val="footer"/>
    <w:basedOn w:val="1"/>
    <w:link w:val="44"/>
    <w:uiPriority w:val="99"/>
    <w:pPr>
      <w:tabs>
        <w:tab w:val="center" w:pos="4680"/>
        <w:tab w:val="right" w:pos="9360"/>
      </w:tabs>
    </w:pPr>
  </w:style>
  <w:style w:type="paragraph" w:styleId="22">
    <w:name w:val="header"/>
    <w:basedOn w:val="1"/>
    <w:link w:val="43"/>
    <w:qFormat/>
    <w:uiPriority w:val="0"/>
    <w:pPr>
      <w:tabs>
        <w:tab w:val="center" w:pos="4680"/>
        <w:tab w:val="right" w:pos="9360"/>
      </w:tabs>
    </w:pPr>
  </w:style>
  <w:style w:type="paragraph" w:styleId="23">
    <w:name w:val="footnote text"/>
    <w:basedOn w:val="1"/>
    <w:semiHidden/>
    <w:uiPriority w:val="0"/>
    <w:rPr>
      <w:sz w:val="20"/>
      <w:szCs w:val="20"/>
    </w:rPr>
  </w:style>
  <w:style w:type="paragraph" w:styleId="24">
    <w:name w:val="Body Text 2"/>
    <w:basedOn w:val="1"/>
    <w:uiPriority w:val="0"/>
    <w:pPr>
      <w:spacing w:after="0"/>
      <w:jc w:val="left"/>
    </w:pPr>
    <w:rPr>
      <w:szCs w:val="20"/>
    </w:rPr>
  </w:style>
  <w:style w:type="paragraph" w:styleId="25">
    <w:name w:val="Normal (Web)"/>
    <w:basedOn w:val="1"/>
    <w:unhideWhenUsed/>
    <w:uiPriority w:val="99"/>
    <w:pPr>
      <w:autoSpaceDE/>
      <w:autoSpaceDN/>
      <w:adjustRightInd/>
      <w:snapToGrid/>
      <w:spacing w:before="100" w:beforeAutospacing="1" w:after="100" w:afterAutospacing="1"/>
      <w:jc w:val="left"/>
    </w:pPr>
    <w:rPr>
      <w:rFonts w:eastAsia="Times New Roman"/>
      <w:sz w:val="24"/>
      <w:szCs w:val="24"/>
    </w:rPr>
  </w:style>
  <w:style w:type="paragraph" w:styleId="26">
    <w:name w:val="annotation subject"/>
    <w:basedOn w:val="16"/>
    <w:next w:val="16"/>
    <w:link w:val="54"/>
    <w:semiHidden/>
    <w:unhideWhenUsed/>
    <w:uiPriority w:val="0"/>
    <w:rPr>
      <w:b/>
      <w:bCs/>
    </w:rPr>
  </w:style>
  <w:style w:type="table" w:styleId="28">
    <w:name w:val="Table Grid"/>
    <w:basedOn w:val="2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rPr>
  </w:style>
  <w:style w:type="character" w:styleId="31">
    <w:name w:val="FollowedHyperlink"/>
    <w:basedOn w:val="29"/>
    <w:uiPriority w:val="0"/>
    <w:rPr>
      <w:color w:val="800080"/>
      <w:u w:val="single"/>
    </w:rPr>
  </w:style>
  <w:style w:type="character" w:styleId="32">
    <w:name w:val="Hyperlink"/>
    <w:basedOn w:val="33"/>
    <w:uiPriority w:val="99"/>
    <w:rPr>
      <w:color w:val="0000FF"/>
      <w:u w:val="single"/>
    </w:rPr>
  </w:style>
  <w:style w:type="character" w:customStyle="1" w:styleId="33">
    <w:name w:val="正文文本 字符1"/>
    <w:basedOn w:val="29"/>
    <w:link w:val="5"/>
    <w:uiPriority w:val="0"/>
  </w:style>
  <w:style w:type="character" w:styleId="34">
    <w:name w:val="annotation reference"/>
    <w:basedOn w:val="29"/>
    <w:unhideWhenUsed/>
    <w:qFormat/>
    <w:uiPriority w:val="0"/>
    <w:rPr>
      <w:sz w:val="21"/>
      <w:szCs w:val="21"/>
    </w:rPr>
  </w:style>
  <w:style w:type="character" w:styleId="35">
    <w:name w:val="footnote reference"/>
    <w:basedOn w:val="29"/>
    <w:semiHidden/>
    <w:uiPriority w:val="0"/>
    <w:rPr>
      <w:vertAlign w:val="superscript"/>
    </w:rPr>
  </w:style>
  <w:style w:type="character" w:customStyle="1" w:styleId="36">
    <w:name w:val="正文文本 字符"/>
    <w:basedOn w:val="29"/>
    <w:uiPriority w:val="0"/>
  </w:style>
  <w:style w:type="character" w:customStyle="1" w:styleId="37">
    <w:name w:val="题注 字符"/>
    <w:basedOn w:val="29"/>
    <w:link w:val="13"/>
    <w:uiPriority w:val="0"/>
    <w:rPr>
      <w:b/>
      <w:bCs/>
    </w:rPr>
  </w:style>
  <w:style w:type="paragraph" w:customStyle="1" w:styleId="38">
    <w:name w:val="References"/>
    <w:basedOn w:val="1"/>
    <w:uiPriority w:val="0"/>
    <w:pPr>
      <w:numPr>
        <w:ilvl w:val="0"/>
        <w:numId w:val="4"/>
      </w:numPr>
      <w:adjustRightInd/>
      <w:spacing w:after="60"/>
    </w:pPr>
    <w:rPr>
      <w:sz w:val="20"/>
      <w:szCs w:val="16"/>
    </w:rPr>
  </w:style>
  <w:style w:type="paragraph" w:customStyle="1" w:styleId="39">
    <w:name w:val="_Style 26"/>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jc w:val="left"/>
    </w:pPr>
  </w:style>
  <w:style w:type="character" w:customStyle="1" w:styleId="43">
    <w:name w:val="页眉 字符"/>
    <w:basedOn w:val="29"/>
    <w:link w:val="22"/>
    <w:qFormat/>
    <w:uiPriority w:val="0"/>
    <w:rPr>
      <w:sz w:val="22"/>
      <w:szCs w:val="22"/>
    </w:rPr>
  </w:style>
  <w:style w:type="character" w:customStyle="1" w:styleId="44">
    <w:name w:val="页脚 字符"/>
    <w:basedOn w:val="29"/>
    <w:link w:val="21"/>
    <w:uiPriority w:val="99"/>
    <w:rPr>
      <w:sz w:val="22"/>
      <w:szCs w:val="22"/>
    </w:rPr>
  </w:style>
  <w:style w:type="paragraph" w:customStyle="1" w:styleId="45">
    <w:name w:val="tablecol"/>
    <w:basedOn w:val="42"/>
    <w:qFormat/>
    <w:uiPriority w:val="0"/>
    <w:pPr>
      <w:jc w:val="center"/>
    </w:pPr>
    <w:rPr>
      <w:b/>
    </w:rPr>
  </w:style>
  <w:style w:type="paragraph" w:customStyle="1" w:styleId="46">
    <w:name w:val="B1"/>
    <w:basedOn w:val="15"/>
    <w:link w:val="57"/>
    <w:qFormat/>
    <w:uiPriority w:val="0"/>
    <w:pPr>
      <w:overflowPunct w:val="0"/>
      <w:snapToGrid/>
      <w:spacing w:after="180"/>
      <w:ind w:left="568" w:hanging="284"/>
      <w:jc w:val="left"/>
      <w:textAlignment w:val="baseline"/>
    </w:pPr>
    <w:rPr>
      <w:rFonts w:eastAsia="MS Mincho"/>
      <w:sz w:val="20"/>
      <w:szCs w:val="20"/>
      <w:lang w:val="en-GB"/>
    </w:rPr>
  </w:style>
  <w:style w:type="paragraph" w:customStyle="1" w:styleId="47">
    <w:name w:val="B2"/>
    <w:basedOn w:val="18"/>
    <w:uiPriority w:val="99"/>
    <w:pPr>
      <w:overflowPunct w:val="0"/>
      <w:snapToGrid/>
      <w:spacing w:after="180"/>
      <w:ind w:left="851" w:leftChars="0" w:hanging="284" w:firstLineChars="0"/>
      <w:contextualSpacing w:val="0"/>
      <w:jc w:val="left"/>
      <w:textAlignment w:val="baseline"/>
    </w:pPr>
    <w:rPr>
      <w:rFonts w:eastAsia="MS Mincho"/>
      <w:sz w:val="20"/>
      <w:szCs w:val="20"/>
      <w:lang w:val="en-GB"/>
    </w:rPr>
  </w:style>
  <w:style w:type="paragraph" w:customStyle="1" w:styleId="48">
    <w:name w:val="B3"/>
    <w:basedOn w:val="12"/>
    <w:uiPriority w:val="0"/>
    <w:pPr>
      <w:overflowPunct w:val="0"/>
      <w:snapToGrid/>
      <w:spacing w:after="180"/>
      <w:ind w:left="1135" w:leftChars="0" w:hanging="284" w:firstLineChars="0"/>
      <w:contextualSpacing w:val="0"/>
      <w:jc w:val="left"/>
      <w:textAlignment w:val="baseline"/>
    </w:pPr>
    <w:rPr>
      <w:rFonts w:eastAsia="MS Mincho"/>
      <w:sz w:val="20"/>
      <w:szCs w:val="20"/>
      <w:lang w:val="en-GB"/>
    </w:rPr>
  </w:style>
  <w:style w:type="paragraph" w:styleId="49">
    <w:name w:val="List Paragraph"/>
    <w:basedOn w:val="1"/>
    <w:link w:val="50"/>
    <w:qFormat/>
    <w:uiPriority w:val="34"/>
    <w:pPr>
      <w:autoSpaceDE/>
      <w:autoSpaceDN/>
      <w:adjustRightInd/>
      <w:snapToGrid/>
      <w:spacing w:after="0"/>
      <w:ind w:firstLine="420"/>
      <w:jc w:val="left"/>
    </w:pPr>
    <w:rPr>
      <w:rFonts w:ascii="宋体" w:hAnsi="宋体"/>
      <w:sz w:val="24"/>
      <w:szCs w:val="24"/>
    </w:rPr>
  </w:style>
  <w:style w:type="character" w:customStyle="1" w:styleId="50">
    <w:name w:val="列表段落 字符"/>
    <w:link w:val="49"/>
    <w:qFormat/>
    <w:uiPriority w:val="34"/>
    <w:rPr>
      <w:rFonts w:ascii="宋体" w:hAnsi="宋体"/>
      <w:sz w:val="24"/>
      <w:szCs w:val="24"/>
    </w:rPr>
  </w:style>
  <w:style w:type="paragraph" w:customStyle="1" w:styleId="51">
    <w:name w:val="text intend 3"/>
    <w:basedOn w:val="1"/>
    <w:uiPriority w:val="0"/>
    <w:pPr>
      <w:numPr>
        <w:ilvl w:val="0"/>
        <w:numId w:val="5"/>
      </w:numPr>
      <w:overflowPunct w:val="0"/>
      <w:snapToGrid/>
      <w:textAlignment w:val="baseline"/>
    </w:pPr>
    <w:rPr>
      <w:rFonts w:eastAsia="MS Mincho"/>
      <w:sz w:val="24"/>
      <w:szCs w:val="20"/>
      <w:lang w:eastAsia="en-GB"/>
    </w:rPr>
  </w:style>
  <w:style w:type="paragraph" w:customStyle="1" w:styleId="52">
    <w:name w:val="목록 단락1"/>
    <w:basedOn w:val="1"/>
    <w:qFormat/>
    <w:uiPriority w:val="34"/>
    <w:pPr>
      <w:autoSpaceDE/>
      <w:autoSpaceDN/>
      <w:adjustRightInd/>
      <w:spacing w:after="100" w:afterAutospacing="1" w:line="259" w:lineRule="auto"/>
      <w:ind w:left="840" w:leftChars="400"/>
    </w:pPr>
    <w:rPr>
      <w:rFonts w:eastAsia="MS Gothic"/>
      <w:sz w:val="24"/>
      <w:szCs w:val="20"/>
      <w:lang w:val="en-GB" w:eastAsia="ja-JP"/>
    </w:rPr>
  </w:style>
  <w:style w:type="character" w:customStyle="1" w:styleId="53">
    <w:name w:val="批注文字 字符"/>
    <w:basedOn w:val="29"/>
    <w:link w:val="16"/>
    <w:qFormat/>
    <w:uiPriority w:val="0"/>
    <w:rPr>
      <w:sz w:val="22"/>
      <w:szCs w:val="22"/>
    </w:rPr>
  </w:style>
  <w:style w:type="character" w:customStyle="1" w:styleId="54">
    <w:name w:val="批注主题 字符"/>
    <w:basedOn w:val="53"/>
    <w:link w:val="26"/>
    <w:semiHidden/>
    <w:uiPriority w:val="0"/>
    <w:rPr>
      <w:b/>
      <w:bCs/>
      <w:sz w:val="22"/>
      <w:szCs w:val="22"/>
    </w:rPr>
  </w:style>
  <w:style w:type="paragraph" w:customStyle="1" w:styleId="55">
    <w:name w:val="修订1"/>
    <w:hidden/>
    <w:semiHidden/>
    <w:uiPriority w:val="99"/>
    <w:rPr>
      <w:rFonts w:ascii="Times New Roman" w:hAnsi="Times New Roman" w:eastAsia="宋体" w:cs="Times New Roman"/>
      <w:sz w:val="22"/>
      <w:szCs w:val="22"/>
      <w:lang w:val="en-US" w:eastAsia="en-US" w:bidi="ar-SA"/>
    </w:rPr>
  </w:style>
  <w:style w:type="character" w:customStyle="1" w:styleId="56">
    <w:name w:val="apple-style-span"/>
    <w:basedOn w:val="29"/>
    <w:uiPriority w:val="0"/>
  </w:style>
  <w:style w:type="character" w:customStyle="1" w:styleId="57">
    <w:name w:val="B1 Char1"/>
    <w:link w:val="46"/>
    <w:qFormat/>
    <w:uiPriority w:val="0"/>
    <w:rPr>
      <w:rFonts w:eastAsia="MS Mincho"/>
      <w:lang w:val="en-GB"/>
    </w:rPr>
  </w:style>
  <w:style w:type="character" w:customStyle="1" w:styleId="58">
    <w:name w:val="Caption Char1"/>
    <w:uiPriority w:val="0"/>
    <w:rPr>
      <w:rFonts w:eastAsia="宋体" w:cs="Times New Roman"/>
      <w:b/>
      <w:bCs/>
      <w:sz w:val="20"/>
      <w:szCs w:val="20"/>
      <w:lang w:val="en-GB" w:eastAsia="zh-CN"/>
    </w:rPr>
  </w:style>
  <w:style w:type="paragraph" w:customStyle="1" w:styleId="59">
    <w:name w:val="PL"/>
    <w:link w:val="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0">
    <w:name w:val="PL Char"/>
    <w:link w:val="59"/>
    <w:qFormat/>
    <w:uiPriority w:val="0"/>
    <w:rPr>
      <w:rFonts w:ascii="Courier New" w:hAnsi="Courier New" w:eastAsia="Times New Roman"/>
      <w:sz w:val="16"/>
      <w:lang w:val="en-GB" w:eastAsia="ja-JP"/>
    </w:rPr>
  </w:style>
  <w:style w:type="paragraph" w:customStyle="1" w:styleId="61">
    <w:name w:val="3GPP Text"/>
    <w:basedOn w:val="1"/>
    <w:link w:val="62"/>
    <w:qFormat/>
    <w:uiPriority w:val="0"/>
    <w:pPr>
      <w:overflowPunct w:val="0"/>
      <w:snapToGrid/>
      <w:spacing w:before="120"/>
      <w:textAlignment w:val="baseline"/>
    </w:pPr>
    <w:rPr>
      <w:szCs w:val="20"/>
    </w:rPr>
  </w:style>
  <w:style w:type="character" w:customStyle="1" w:styleId="62">
    <w:name w:val="3GPP Text Char"/>
    <w:link w:val="61"/>
    <w:qFormat/>
    <w:uiPriority w:val="0"/>
    <w:rPr>
      <w:sz w:val="22"/>
    </w:rPr>
  </w:style>
  <w:style w:type="paragraph" w:customStyle="1" w:styleId="63">
    <w:name w:val="Tdoc_Header_2"/>
    <w:basedOn w:val="1"/>
    <w:qFormat/>
    <w:uiPriority w:val="0"/>
    <w:pPr>
      <w:widowControl w:val="0"/>
      <w:tabs>
        <w:tab w:val="left" w:pos="1701"/>
        <w:tab w:val="right" w:pos="9072"/>
        <w:tab w:val="right" w:pos="10206"/>
      </w:tabs>
      <w:autoSpaceDE/>
      <w:autoSpaceDN/>
      <w:adjustRightInd/>
      <w:snapToGrid/>
      <w:spacing w:after="0"/>
    </w:pPr>
    <w:rPr>
      <w:rFonts w:ascii="Arial" w:hAnsi="Arial" w:eastAsia="Batang"/>
      <w:b/>
      <w:sz w:val="18"/>
      <w:szCs w:val="20"/>
      <w:lang w:val="en-GB"/>
    </w:rPr>
  </w:style>
  <w:style w:type="paragraph" w:customStyle="1" w:styleId="64">
    <w:name w:val="3GPP_Header"/>
    <w:basedOn w:val="1"/>
    <w:qFormat/>
    <w:uiPriority w:val="0"/>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65">
    <w:name w:val="apple-converted-space"/>
    <w:qFormat/>
    <w:uiPriority w:val="0"/>
  </w:style>
  <w:style w:type="paragraph" w:customStyle="1" w:styleId="66">
    <w:name w:val="text intend 1"/>
    <w:basedOn w:val="1"/>
    <w:uiPriority w:val="0"/>
    <w:pPr>
      <w:numPr>
        <w:ilvl w:val="0"/>
        <w:numId w:val="6"/>
      </w:numPr>
      <w:overflowPunct w:val="0"/>
      <w:snapToGrid/>
      <w:textAlignment w:val="baseline"/>
    </w:pPr>
    <w:rPr>
      <w:rFonts w:ascii="Calibri" w:hAnsi="Calibri" w:eastAsia="MS Mincho" w:cs="Calibri"/>
      <w:szCs w:val="20"/>
      <w:lang w:val="fi-FI" w:eastAsia="fi-FI"/>
    </w:rPr>
  </w:style>
  <w:style w:type="character" w:styleId="67">
    <w:name w:val="Placeholder Text"/>
    <w:basedOn w:val="29"/>
    <w:semiHidden/>
    <w:uiPriority w:val="99"/>
    <w:rPr>
      <w:color w:val="666666"/>
    </w:rPr>
  </w:style>
  <w:style w:type="paragraph" w:customStyle="1" w:styleId="68">
    <w:name w:val="Doc-text2"/>
    <w:basedOn w:val="1"/>
    <w:link w:val="69"/>
    <w:qFormat/>
    <w:uiPriority w:val="0"/>
    <w:pPr>
      <w:tabs>
        <w:tab w:val="left" w:pos="1622"/>
      </w:tabs>
      <w:overflowPunct w:val="0"/>
      <w:snapToGrid/>
      <w:spacing w:after="0"/>
      <w:ind w:left="1622" w:hanging="363"/>
      <w:jc w:val="left"/>
      <w:textAlignment w:val="baseline"/>
    </w:pPr>
    <w:rPr>
      <w:rFonts w:ascii="Arial" w:hAnsi="Arial" w:eastAsia="Times New Roman"/>
      <w:sz w:val="20"/>
      <w:szCs w:val="20"/>
      <w:lang w:val="en-GB" w:eastAsia="ja-JP"/>
    </w:rPr>
  </w:style>
  <w:style w:type="character" w:customStyle="1" w:styleId="69">
    <w:name w:val="Doc-text2 Char"/>
    <w:link w:val="68"/>
    <w:qFormat/>
    <w:uiPriority w:val="0"/>
    <w:rPr>
      <w:rFonts w:ascii="Arial" w:hAnsi="Arial" w:eastAsia="Times New Roman"/>
      <w:lang w:val="en-GB" w:eastAsia="ja-JP"/>
    </w:rPr>
  </w:style>
  <w:style w:type="character" w:customStyle="1" w:styleId="70">
    <w:name w:val="列表段落 字符3"/>
    <w:qFormat/>
    <w:locked/>
    <w:uiPriority w:val="34"/>
    <w:rPr>
      <w:rFonts w:eastAsia="宋体"/>
      <w:lang w:eastAsia="ja-JP"/>
    </w:rPr>
  </w:style>
  <w:style w:type="paragraph" w:customStyle="1" w:styleId="71">
    <w:name w:val="Statement Body"/>
    <w:basedOn w:val="1"/>
    <w:qFormat/>
    <w:uiPriority w:val="0"/>
    <w:pPr>
      <w:numPr>
        <w:ilvl w:val="0"/>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72">
    <w:name w:val="修订2"/>
    <w:hidden/>
    <w:unhideWhenUsed/>
    <w:uiPriority w:val="99"/>
    <w:rPr>
      <w:rFonts w:ascii="Times New Roman" w:hAnsi="Times New Roman" w:eastAsia="宋体" w:cs="Times New Roman"/>
      <w:sz w:val="22"/>
      <w:szCs w:val="22"/>
      <w:lang w:val="en-US" w:eastAsia="en-US" w:bidi="ar-SA"/>
    </w:rPr>
  </w:style>
  <w:style w:type="character" w:customStyle="1" w:styleId="73">
    <w:name w:val="列表段落 字符4"/>
    <w:qFormat/>
    <w:locked/>
    <w:uiPriority w:val="34"/>
    <w:rPr>
      <w:rFonts w:eastAsia="宋体"/>
      <w:lang w:eastAsia="ja-JP"/>
    </w:rPr>
  </w:style>
  <w:style w:type="paragraph" w:customStyle="1" w:styleId="74">
    <w:name w:val="TAL"/>
    <w:basedOn w:val="1"/>
    <w:link w:val="79"/>
    <w:qFormat/>
    <w:uiPriority w:val="0"/>
    <w:pPr>
      <w:keepNext/>
      <w:keepLines/>
      <w:autoSpaceDE/>
      <w:autoSpaceDN/>
      <w:adjustRightInd/>
      <w:snapToGrid/>
      <w:spacing w:after="0"/>
      <w:jc w:val="left"/>
    </w:pPr>
    <w:rPr>
      <w:rFonts w:ascii="Arial" w:hAnsi="Arial" w:eastAsiaTheme="minorEastAsia"/>
      <w:sz w:val="18"/>
      <w:szCs w:val="20"/>
      <w:lang w:val="en-GB"/>
    </w:rPr>
  </w:style>
  <w:style w:type="paragraph" w:customStyle="1" w:styleId="75">
    <w:name w:val="TAH"/>
    <w:basedOn w:val="76"/>
    <w:link w:val="78"/>
    <w:qFormat/>
    <w:uiPriority w:val="0"/>
    <w:rPr>
      <w:b/>
    </w:rPr>
  </w:style>
  <w:style w:type="paragraph" w:customStyle="1" w:styleId="76">
    <w:name w:val="TAC"/>
    <w:basedOn w:val="74"/>
    <w:link w:val="80"/>
    <w:qFormat/>
    <w:uiPriority w:val="0"/>
    <w:pPr>
      <w:jc w:val="center"/>
    </w:pPr>
  </w:style>
  <w:style w:type="paragraph" w:customStyle="1" w:styleId="77">
    <w:name w:val="TAN"/>
    <w:basedOn w:val="74"/>
    <w:qFormat/>
    <w:uiPriority w:val="0"/>
    <w:pPr>
      <w:ind w:left="851" w:hanging="851"/>
    </w:pPr>
  </w:style>
  <w:style w:type="character" w:customStyle="1" w:styleId="78">
    <w:name w:val="TAH Car"/>
    <w:link w:val="75"/>
    <w:qFormat/>
    <w:uiPriority w:val="0"/>
    <w:rPr>
      <w:rFonts w:ascii="Arial" w:hAnsi="Arial" w:eastAsiaTheme="minorEastAsia"/>
      <w:b/>
      <w:sz w:val="18"/>
      <w:lang w:val="en-GB" w:eastAsia="en-US"/>
    </w:rPr>
  </w:style>
  <w:style w:type="character" w:customStyle="1" w:styleId="79">
    <w:name w:val="TAL Char"/>
    <w:link w:val="74"/>
    <w:qFormat/>
    <w:locked/>
    <w:uiPriority w:val="0"/>
    <w:rPr>
      <w:rFonts w:ascii="Arial" w:hAnsi="Arial" w:eastAsiaTheme="minorEastAsia"/>
      <w:sz w:val="18"/>
      <w:lang w:val="en-GB" w:eastAsia="en-US"/>
    </w:rPr>
  </w:style>
  <w:style w:type="character" w:customStyle="1" w:styleId="80">
    <w:name w:val="TAC Char"/>
    <w:link w:val="76"/>
    <w:qFormat/>
    <w:uiPriority w:val="0"/>
    <w:rPr>
      <w:rFonts w:ascii="Arial" w:hAnsi="Arial" w:eastAsiaTheme="minorEastAsia"/>
      <w:sz w:val="18"/>
      <w:lang w:val="en-GB" w:eastAsia="en-US"/>
    </w:rPr>
  </w:style>
  <w:style w:type="character" w:customStyle="1" w:styleId="81">
    <w:name w:val="未处理的提及1"/>
    <w:basedOn w:val="29"/>
    <w:semiHidden/>
    <w:unhideWhenUsed/>
    <w:uiPriority w:val="99"/>
    <w:rPr>
      <w:color w:val="605E5C"/>
      <w:shd w:val="clear" w:color="auto" w:fill="E1DFDD"/>
    </w:rPr>
  </w:style>
  <w:style w:type="paragraph" w:customStyle="1" w:styleId="82">
    <w:name w:val="修订3"/>
    <w:hidden/>
    <w:unhideWhenUsed/>
    <w:uiPriority w:val="99"/>
    <w:rPr>
      <w:rFonts w:ascii="Times New Roman" w:hAnsi="Times New Roman" w:eastAsia="宋体" w:cs="Times New Roman"/>
      <w:sz w:val="22"/>
      <w:szCs w:val="22"/>
      <w:lang w:val="en-US" w:eastAsia="en-US" w:bidi="ar-SA"/>
    </w:rPr>
  </w:style>
  <w:style w:type="paragraph" w:customStyle="1" w:styleId="83">
    <w:name w:val="First Paragraph"/>
    <w:basedOn w:val="5"/>
    <w:next w:val="5"/>
    <w:qFormat/>
    <w:uiPriority w:val="0"/>
  </w:style>
  <w:style w:type="paragraph" w:customStyle="1" w:styleId="84">
    <w:name w:val="Compact"/>
    <w:basedOn w:val="5"/>
    <w:qFormat/>
    <w:uiPriority w:val="0"/>
    <w:pPr>
      <w:spacing w:before="36" w:after="36"/>
    </w:pPr>
  </w:style>
  <w:style w:type="table" w:customStyle="1" w:styleId="85">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37</Pages>
  <Words>59616</Words>
  <Characters>77502</Characters>
  <Lines>2672</Lines>
  <Paragraphs>2247</Paragraphs>
  <TotalTime>0</TotalTime>
  <ScaleCrop>false</ScaleCrop>
  <LinksUpToDate>false</LinksUpToDate>
  <CharactersWithSpaces>134871</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2024-05-14T02:32:00Z</dcterms:created>
  <dc:creator>Brian Classon</dc:creator>
  <cp:lastModifiedBy>简荣灵</cp:lastModifiedBy>
  <cp:lastPrinted>2007-06-24T22:08:00Z</cp:lastPrinted>
  <dcterms:modified xsi:type="dcterms:W3CDTF">2025-10-02T19:03:11Z</dcterms:modified>
  <cp:revision>893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EB484D0486C58C14AB5ADE68B3B5A31D_43</vt:lpwstr>
  </property>
</Properties>
</file>